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Cs w:val="32"/>
        </w:rPr>
      </w:pPr>
      <w:r>
        <w:rPr>
          <w:rFonts w:hint="eastAsia" w:ascii="黑体" w:eastAsia="黑体"/>
          <w:szCs w:val="32"/>
        </w:rPr>
        <w:t>附件</w:t>
      </w:r>
      <w:r>
        <w:rPr>
          <w:rFonts w:hint="eastAsia" w:ascii="黑体" w:eastAsia="黑体"/>
          <w:szCs w:val="32"/>
          <w:lang w:val="en-US" w:eastAsia="zh-CN"/>
        </w:rPr>
        <w:t>3-1</w:t>
      </w:r>
      <w:r>
        <w:rPr>
          <w:rFonts w:hint="eastAsia" w:ascii="黑体" w:eastAsia="黑体"/>
          <w:szCs w:val="32"/>
        </w:rPr>
        <w:t>：</w:t>
      </w:r>
    </w:p>
    <w:tbl>
      <w:tblPr>
        <w:tblStyle w:val="4"/>
        <w:tblW w:w="9174" w:type="dxa"/>
        <w:jc w:val="center"/>
        <w:tblInd w:w="0" w:type="dxa"/>
        <w:tblLayout w:type="fixed"/>
        <w:tblCellMar>
          <w:top w:w="0" w:type="dxa"/>
          <w:left w:w="28" w:type="dxa"/>
          <w:bottom w:w="0" w:type="dxa"/>
          <w:right w:w="28" w:type="dxa"/>
        </w:tblCellMar>
      </w:tblPr>
      <w:tblGrid>
        <w:gridCol w:w="482"/>
        <w:gridCol w:w="635"/>
        <w:gridCol w:w="1085"/>
        <w:gridCol w:w="765"/>
        <w:gridCol w:w="2790"/>
        <w:gridCol w:w="3417"/>
      </w:tblGrid>
      <w:tr>
        <w:tblPrEx>
          <w:tblLayout w:type="fixed"/>
          <w:tblCellMar>
            <w:top w:w="0" w:type="dxa"/>
            <w:left w:w="28" w:type="dxa"/>
            <w:bottom w:w="0" w:type="dxa"/>
            <w:right w:w="28" w:type="dxa"/>
          </w:tblCellMar>
        </w:tblPrEx>
        <w:trPr>
          <w:tblHeader/>
          <w:jc w:val="center"/>
        </w:trPr>
        <w:tc>
          <w:tcPr>
            <w:tcW w:w="9174" w:type="dxa"/>
            <w:gridSpan w:val="6"/>
            <w:tcBorders>
              <w:bottom w:val="single" w:color="auto" w:sz="4" w:space="0"/>
            </w:tcBorders>
            <w:tcMar>
              <w:top w:w="10" w:type="dxa"/>
              <w:left w:w="10" w:type="dxa"/>
              <w:bottom w:w="0" w:type="dxa"/>
              <w:right w:w="10" w:type="dxa"/>
            </w:tcMar>
            <w:vAlign w:val="center"/>
          </w:tcPr>
          <w:p>
            <w:pPr>
              <w:spacing w:after="156" w:afterLines="50"/>
              <w:jc w:val="center"/>
              <w:rPr>
                <w:rFonts w:ascii="黑体" w:eastAsia="黑体"/>
                <w:b/>
                <w:bCs/>
                <w:sz w:val="18"/>
                <w:szCs w:val="18"/>
              </w:rPr>
            </w:pPr>
            <w:r>
              <w:rPr>
                <w:rFonts w:hint="eastAsia" w:ascii="黑体" w:eastAsia="黑体"/>
                <w:bCs/>
                <w:sz w:val="36"/>
                <w:szCs w:val="36"/>
                <w:lang w:val="en-US" w:eastAsia="zh-CN"/>
              </w:rPr>
              <w:t xml:space="preserve"> </w:t>
            </w:r>
            <w:r>
              <w:rPr>
                <w:rFonts w:hint="eastAsia" w:ascii="黑体" w:eastAsia="黑体"/>
                <w:bCs/>
                <w:sz w:val="36"/>
                <w:szCs w:val="36"/>
              </w:rPr>
              <w:t>部门整体支出绩效自评指标评分表</w:t>
            </w:r>
          </w:p>
        </w:tc>
      </w:tr>
      <w:tr>
        <w:tblPrEx>
          <w:tblLayout w:type="fixed"/>
          <w:tblCellMar>
            <w:top w:w="0" w:type="dxa"/>
            <w:left w:w="28" w:type="dxa"/>
            <w:bottom w:w="0" w:type="dxa"/>
            <w:right w:w="28" w:type="dxa"/>
          </w:tblCellMar>
        </w:tblPrEx>
        <w:trPr>
          <w:trHeight w:val="950" w:hRule="atLeast"/>
          <w:tblHeader/>
          <w:jc w:val="center"/>
        </w:trPr>
        <w:tc>
          <w:tcPr>
            <w:tcW w:w="48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一级</w:t>
            </w:r>
            <w:r>
              <w:rPr>
                <w:rFonts w:hint="eastAsia" w:ascii="仿宋_GB2312" w:hAnsi="仿宋_GB2312" w:eastAsia="仿宋_GB2312" w:cs="仿宋_GB2312"/>
                <w:b/>
                <w:bCs/>
                <w:sz w:val="21"/>
                <w:szCs w:val="21"/>
              </w:rPr>
              <w:br w:type="textWrapping"/>
            </w:r>
            <w:r>
              <w:rPr>
                <w:rFonts w:hint="eastAsia" w:ascii="仿宋_GB2312" w:hAnsi="仿宋_GB2312" w:eastAsia="仿宋_GB2312" w:cs="仿宋_GB2312"/>
                <w:b/>
                <w:bCs/>
                <w:sz w:val="21"/>
                <w:szCs w:val="21"/>
              </w:rPr>
              <w:t>指标</w:t>
            </w:r>
          </w:p>
        </w:tc>
        <w:tc>
          <w:tcPr>
            <w:tcW w:w="63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三级</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自评分</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指标解释</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指标说明</w:t>
            </w:r>
          </w:p>
        </w:tc>
      </w:tr>
      <w:tr>
        <w:tblPrEx>
          <w:tblLayout w:type="fixed"/>
          <w:tblCellMar>
            <w:top w:w="0" w:type="dxa"/>
            <w:left w:w="28" w:type="dxa"/>
            <w:bottom w:w="0" w:type="dxa"/>
            <w:right w:w="28" w:type="dxa"/>
          </w:tblCellMar>
        </w:tblPrEx>
        <w:trPr>
          <w:trHeight w:val="1491"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投   入（20分）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设定（5分）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绩效目标合理性（2分）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部门所设立的整体绩效目标依据是否充分，是否符合客观实际，用以反映和考核部门整体绩效目标与部门履职、年度工作任务的相符性情况。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①符合国家法律法规、国民经济和社会发展总体规划计1分；②符合部门“三定”方案确定的职责计0.5分；③是否符合部门制定的中长期实施规划计0.5分。</w:t>
            </w:r>
          </w:p>
        </w:tc>
      </w:tr>
      <w:tr>
        <w:tblPrEx>
          <w:tblLayout w:type="fixed"/>
          <w:tblCellMar>
            <w:top w:w="0" w:type="dxa"/>
            <w:left w:w="28" w:type="dxa"/>
            <w:bottom w:w="0" w:type="dxa"/>
            <w:right w:w="28" w:type="dxa"/>
          </w:tblCellMar>
        </w:tblPrEx>
        <w:trPr>
          <w:trHeight w:val="1674"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绩效指标明确性（3分）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3</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部门依据整体绩效目标所设定的绩效指标是否清晰、细化、可衡量，用以反映和考核部门整体绩效目标的明细化情况。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Layout w:type="fixed"/>
          <w:tblCellMar>
            <w:top w:w="0" w:type="dxa"/>
            <w:left w:w="28" w:type="dxa"/>
            <w:bottom w:w="0" w:type="dxa"/>
            <w:right w:w="28" w:type="dxa"/>
          </w:tblCellMar>
        </w:tblPrEx>
        <w:trPr>
          <w:trHeight w:val="154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配置（15分）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部门本年度实际在职人员数与编制数的比率，用以反映和考核部门对人员成本的控制程度。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Layout w:type="fixed"/>
          <w:tblCellMar>
            <w:top w:w="0" w:type="dxa"/>
            <w:left w:w="28" w:type="dxa"/>
            <w:bottom w:w="0" w:type="dxa"/>
            <w:right w:w="28" w:type="dxa"/>
          </w:tblCellMar>
        </w:tblPrEx>
        <w:trPr>
          <w:trHeight w:val="1856"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部门本年度“三公经费”预算数与上年度“三公经费”预算数的变动比率，用以反映和考核部门对控制重点行政成本的努力程度。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Layout w:type="fixed"/>
          <w:tblCellMar>
            <w:top w:w="0" w:type="dxa"/>
            <w:left w:w="28" w:type="dxa"/>
            <w:bottom w:w="0" w:type="dxa"/>
            <w:right w:w="28" w:type="dxa"/>
          </w:tblCellMar>
        </w:tblPrEx>
        <w:trPr>
          <w:trHeight w:val="2218"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部门本年度预算安排的重点项目支出与部门项目总支出的比率，用以反映和考核部门对履行主要职责或完成重点任务的保障程度。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156" w:beforeLines="50" w:after="156" w:afterLines="5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Layout w:type="fixed"/>
          <w:tblCellMar>
            <w:top w:w="0" w:type="dxa"/>
            <w:left w:w="28" w:type="dxa"/>
            <w:bottom w:w="0" w:type="dxa"/>
            <w:right w:w="28" w:type="dxa"/>
          </w:tblCellMar>
        </w:tblPrEx>
        <w:trPr>
          <w:trHeight w:val="529" w:hRule="atLeast"/>
          <w:jc w:val="center"/>
        </w:trPr>
        <w:tc>
          <w:tcPr>
            <w:tcW w:w="482"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预算执行（20分）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部门本年度预算完成数与预算数的比率，用以反映和考核部门预算完成程度。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部门本年度预算调整数与预算数的比率，用以反映和考核部门预算的调整程度。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Layout w:type="fixed"/>
          <w:tblCellMar>
            <w:top w:w="0" w:type="dxa"/>
            <w:left w:w="28" w:type="dxa"/>
            <w:bottom w:w="0" w:type="dxa"/>
            <w:right w:w="28" w:type="dxa"/>
          </w:tblCellMar>
        </w:tblPrEx>
        <w:trPr>
          <w:trHeight w:val="2018"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部门实际支付进度与既定支付进度的比率，用以反映和考核部门预算执行的及时性和均衡性程度。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before="62" w:beforeLines="20" w:after="62" w:afterLines="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Layout w:type="fixed"/>
          <w:tblCellMar>
            <w:top w:w="0" w:type="dxa"/>
            <w:left w:w="28" w:type="dxa"/>
            <w:bottom w:w="0" w:type="dxa"/>
            <w:right w:w="28" w:type="dxa"/>
          </w:tblCellMar>
        </w:tblPrEx>
        <w:trPr>
          <w:trHeight w:val="315" w:hRule="atLeast"/>
          <w:jc w:val="center"/>
        </w:trPr>
        <w:tc>
          <w:tcPr>
            <w:tcW w:w="482" w:type="dxa"/>
            <w:vMerge w:val="continue"/>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部门本年度结转结余总额与上年结转结余总额增减比例，用以反映和考核部门对存量资金的实际控制程度。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Layout w:type="fixed"/>
          <w:tblCellMar>
            <w:top w:w="0" w:type="dxa"/>
            <w:left w:w="28" w:type="dxa"/>
            <w:bottom w:w="0" w:type="dxa"/>
            <w:right w:w="28" w:type="dxa"/>
          </w:tblCellMar>
        </w:tblPrEx>
        <w:trPr>
          <w:trHeight w:val="1229"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部门本年度实际支出的公用经费总额与预算安排的公用经费总额的比率，用以反映和考核部门对机构运转成本的实际控制程度。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公用经费控制率=（实际支出公用经费总额/预算安排公用经费总额）×100%。为100%的计2分，每超过1个百分点扣0.1分，扣完为止。</w:t>
            </w:r>
          </w:p>
        </w:tc>
      </w:tr>
      <w:tr>
        <w:tblPrEx>
          <w:tblLayout w:type="fixed"/>
          <w:tblCellMar>
            <w:top w:w="0" w:type="dxa"/>
            <w:left w:w="28" w:type="dxa"/>
            <w:bottom w:w="0" w:type="dxa"/>
            <w:right w:w="28" w:type="dxa"/>
          </w:tblCellMar>
        </w:tblPrEx>
        <w:trPr>
          <w:trHeight w:val="1090"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部门本年度“三公经费”实际支出数与预算安排数的比率，用以反映和考核部门对“三公经费”的实际控制程度。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“三公经费”控制率=（“三公经费”实际支出数/“三公经费”预算安排数）×100%。为100%的计2分，每超过1个百分点扣0.5分，扣完为止。</w:t>
            </w:r>
          </w:p>
        </w:tc>
      </w:tr>
      <w:tr>
        <w:tblPrEx>
          <w:tblLayout w:type="fixed"/>
          <w:tblCellMar>
            <w:top w:w="0" w:type="dxa"/>
            <w:left w:w="28" w:type="dxa"/>
            <w:bottom w:w="0" w:type="dxa"/>
            <w:right w:w="28" w:type="dxa"/>
          </w:tblCellMar>
        </w:tblPrEx>
        <w:trPr>
          <w:trHeight w:val="287" w:hRule="atLeast"/>
          <w:jc w:val="center"/>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政府采购执行率（4分）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部门本年度实际政府采购金额与年初政府采购预算的比率，用以反映和考核部门政府采购预算执行情况。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政府采购执行率=（实际政府采购金额/政府采购预算数）×100%，为100%的计2分，每低于1个百分点扣0.5分，扣完为止；政府采购预算：采购机关根据事业发展计划和行政任务编制的、并经过规定程序批准的年度政府采购计划。 </w:t>
            </w:r>
          </w:p>
        </w:tc>
      </w:tr>
      <w:tr>
        <w:tblPrEx>
          <w:tblLayout w:type="fixed"/>
          <w:tblCellMar>
            <w:top w:w="0" w:type="dxa"/>
            <w:left w:w="28" w:type="dxa"/>
            <w:bottom w:w="0" w:type="dxa"/>
            <w:right w:w="28" w:type="dxa"/>
          </w:tblCellMar>
        </w:tblPrEx>
        <w:trPr>
          <w:trHeight w:val="1391" w:hRule="atLeast"/>
          <w:jc w:val="center"/>
        </w:trPr>
        <w:tc>
          <w:tcPr>
            <w:tcW w:w="482" w:type="dxa"/>
            <w:vMerge w:val="restart"/>
            <w:tcBorders>
              <w:top w:val="single" w:color="auto" w:sz="4" w:space="0"/>
              <w:left w:val="single" w:color="auto" w:sz="4" w:space="0"/>
              <w:right w:val="single" w:color="auto" w:sz="4" w:space="0"/>
            </w:tcBorders>
            <w:textDirection w:val="tbRlV"/>
            <w:vAlign w:val="center"/>
          </w:tcPr>
          <w:p>
            <w:pPr>
              <w:ind w:left="113" w:right="113"/>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过             程（30分）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         预算</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部门为加强预算管理、规范财务行为而制定的管理制度是否健全完整，用以反映和考核部门预算管理制度对完成主要职责或促进事业发展的保障情况。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已制定或具有预算资金管理办法、内部财务管理制度、会计核算制度等管理制度计1分；相关管理制度合法、合规、完整计0.5分；相关管理制度得到有效执行计0.5分。</w:t>
            </w:r>
          </w:p>
        </w:tc>
      </w:tr>
      <w:tr>
        <w:tblPrEx>
          <w:tblLayout w:type="fixed"/>
          <w:tblCellMar>
            <w:top w:w="0" w:type="dxa"/>
            <w:left w:w="28" w:type="dxa"/>
            <w:bottom w:w="0" w:type="dxa"/>
            <w:right w:w="28" w:type="dxa"/>
          </w:tblCellMar>
        </w:tblPrEx>
        <w:trPr>
          <w:trHeight w:val="200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资金使用合规性（1分）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部门使用预算资金是否符合相关的预算财务管理制度的规定，用以反映和考核部门预算资金的规范运行情况。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Layout w:type="fixed"/>
          <w:tblCellMar>
            <w:top w:w="0" w:type="dxa"/>
            <w:left w:w="28" w:type="dxa"/>
            <w:bottom w:w="0" w:type="dxa"/>
            <w:right w:w="28" w:type="dxa"/>
          </w:tblCellMar>
        </w:tblPrEx>
        <w:trPr>
          <w:trHeight w:val="1391"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预决算信息公开性（1分）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部门是否按照政府信息公开有关规定公开相关预决算信息，用以反映和考核部门预决算管理的公开透明情况。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①按规定内容公开预决算信息计0.5分；②按规定时限公开预决算信息计0.5分。预决算信息是指与部门预算、执行、决算、监督、绩效等管理相关的信息。</w:t>
            </w:r>
          </w:p>
        </w:tc>
      </w:tr>
      <w:tr>
        <w:tblPrEx>
          <w:tblLayout w:type="fixed"/>
          <w:tblCellMar>
            <w:top w:w="0" w:type="dxa"/>
            <w:left w:w="28" w:type="dxa"/>
            <w:bottom w:w="0" w:type="dxa"/>
            <w:right w:w="28" w:type="dxa"/>
          </w:tblCellMar>
        </w:tblPrEx>
        <w:trPr>
          <w:trHeight w:val="1395" w:hRule="atLeast"/>
          <w:jc w:val="center"/>
        </w:trPr>
        <w:tc>
          <w:tcPr>
            <w:tcW w:w="482"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基础信息完善性（1分）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部门基础信息是否完善，用以反映和考核基础信息对预算管理工作的支撑情况。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①基础数据信息和会计信息资料真实计0.4分；②基础数据信息和会计信息资料完整计0.3分；③基础数据信息和会计信息资料准确计0.3分。</w:t>
            </w:r>
          </w:p>
        </w:tc>
      </w:tr>
      <w:tr>
        <w:tblPrEx>
          <w:tblLayout w:type="fixed"/>
          <w:tblCellMar>
            <w:top w:w="0" w:type="dxa"/>
            <w:left w:w="28" w:type="dxa"/>
            <w:bottom w:w="0" w:type="dxa"/>
            <w:right w:w="28" w:type="dxa"/>
          </w:tblCellMar>
        </w:tblPrEx>
        <w:trPr>
          <w:trHeight w:val="90" w:hRule="atLeast"/>
          <w:jc w:val="center"/>
        </w:trPr>
        <w:tc>
          <w:tcPr>
            <w:tcW w:w="482" w:type="dxa"/>
            <w:vMerge w:val="continue"/>
            <w:tcBorders>
              <w:left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p>
        </w:tc>
        <w:tc>
          <w:tcPr>
            <w:tcW w:w="635" w:type="dxa"/>
            <w:vMerge w:val="restart"/>
            <w:tcBorders>
              <w:top w:val="nil"/>
              <w:left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管理</w:t>
            </w:r>
          </w:p>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管理制度健全性（2分）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部门为加强资产管理、规范资产管理行为而制定的管理制度是否健全完整，用以反映和考核部门资产管理制度对完成主要职责或促进社会发展的保障情况。</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①制定或具有资产管理制度计1分；②相关资金管理制度合法、合规、完整计0.5分；③相关资产管理制度得到有效执行计0.5分。</w:t>
            </w:r>
          </w:p>
        </w:tc>
      </w:tr>
      <w:tr>
        <w:tblPrEx>
          <w:tblLayout w:type="fixed"/>
          <w:tblCellMar>
            <w:top w:w="0" w:type="dxa"/>
            <w:left w:w="28" w:type="dxa"/>
            <w:bottom w:w="0" w:type="dxa"/>
            <w:right w:w="28" w:type="dxa"/>
          </w:tblCellMar>
        </w:tblPrEx>
        <w:trPr>
          <w:trHeight w:val="1532" w:hRule="atLeast"/>
          <w:jc w:val="center"/>
        </w:trPr>
        <w:tc>
          <w:tcPr>
            <w:tcW w:w="482" w:type="dxa"/>
            <w:vMerge w:val="continue"/>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资产管理安全性（2分）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761"/>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2</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761"/>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部门的资产是否保存完整、使用合规、配置合理、处置规范、收入及时足额上缴，用以反映和考核部门资产安全运行情况。</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①资产保存完整计0.4分；②资产配置合理计0.4分；③资产处置规范计0.4分；④资产账务管理合规、帐实相符计0.4分；⑤资产有偿使用及处置收入及时足额上缴计0.4分。</w:t>
            </w:r>
          </w:p>
        </w:tc>
      </w:tr>
      <w:tr>
        <w:tblPrEx>
          <w:tblLayout w:type="fixed"/>
          <w:tblCellMar>
            <w:top w:w="0" w:type="dxa"/>
            <w:left w:w="28" w:type="dxa"/>
            <w:bottom w:w="0" w:type="dxa"/>
            <w:right w:w="28" w:type="dxa"/>
          </w:tblCellMar>
        </w:tblPrEx>
        <w:trPr>
          <w:trHeight w:val="1110" w:hRule="atLeast"/>
          <w:jc w:val="center"/>
        </w:trPr>
        <w:tc>
          <w:tcPr>
            <w:tcW w:w="482"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固定资产利用率（1分）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部门实际在用固定资产总额与所有固定资产总额的比率，用以反映和考核部门固定资产使用效率程度。</w:t>
            </w:r>
          </w:p>
        </w:tc>
        <w:tc>
          <w:tcPr>
            <w:tcW w:w="3417"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固定资产利用率=（实际在用固定资产总额/所有固定资产总额）×100%。利用率为100%的计1分，每降1个百分点扣0.1分，扣完为止。</w:t>
            </w:r>
          </w:p>
        </w:tc>
      </w:tr>
      <w:tr>
        <w:tblPrEx>
          <w:tblLayout w:type="fixed"/>
          <w:tblCellMar>
            <w:top w:w="0" w:type="dxa"/>
            <w:left w:w="28" w:type="dxa"/>
            <w:bottom w:w="0" w:type="dxa"/>
            <w:right w:w="28" w:type="dxa"/>
          </w:tblCellMar>
        </w:tblPrEx>
        <w:trPr>
          <w:trHeight w:val="83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   出（30分）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职责</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履行</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7.5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部门履行职责而实际完成工作数与计划工作数的比率，用以反映和考核部门履职工作任务目标的实现程度。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实际完成率得分=完成市委市政府绩效考核得分或上级主管部门考核指标得分/指标分值*8分</w:t>
            </w:r>
          </w:p>
        </w:tc>
      </w:tr>
      <w:tr>
        <w:tblPrEx>
          <w:tblLayout w:type="fixed"/>
          <w:tblCellMar>
            <w:top w:w="0" w:type="dxa"/>
            <w:left w:w="28" w:type="dxa"/>
            <w:bottom w:w="0" w:type="dxa"/>
            <w:right w:w="28" w:type="dxa"/>
          </w:tblCellMar>
        </w:tblPrEx>
        <w:trPr>
          <w:trHeight w:val="109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完成及时率（4分）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部门在规定时限内及时完成的实际工作数与计划工作数的比率,用以反映和考核部门履职时效目标的实现程度。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完成及时率=（及时完成实际工作数/计划工作数）×100%。1-4季度各得1分</w:t>
            </w:r>
            <w:r>
              <w:rPr>
                <w:rFonts w:hint="eastAsia" w:ascii="仿宋_GB2312" w:hAnsi="仿宋_GB2312" w:eastAsia="仿宋_GB2312" w:cs="仿宋_GB2312"/>
                <w:sz w:val="21"/>
                <w:szCs w:val="21"/>
              </w:rPr>
              <w:br w:type="textWrapping"/>
            </w:r>
          </w:p>
        </w:tc>
      </w:tr>
      <w:tr>
        <w:tblPrEx>
          <w:tblLayout w:type="fixed"/>
          <w:tblCellMar>
            <w:top w:w="0" w:type="dxa"/>
            <w:left w:w="28" w:type="dxa"/>
            <w:bottom w:w="0" w:type="dxa"/>
            <w:right w:w="28" w:type="dxa"/>
          </w:tblCellMar>
        </w:tblPrEx>
        <w:trPr>
          <w:trHeight w:val="36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质量达标率（8分）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8</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达到质量标准（绩效标准值）的实际工作数与计划工作数的比率,用以反映和考核部门履职质量目标的实现程度。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质量达标率=（质量达标实际工作数/计划工作数）×100%。实际得分=达标率*8分</w:t>
            </w:r>
          </w:p>
        </w:tc>
      </w:tr>
      <w:tr>
        <w:tblPrEx>
          <w:tblLayout w:type="fixed"/>
          <w:tblCellMar>
            <w:top w:w="0" w:type="dxa"/>
            <w:left w:w="28" w:type="dxa"/>
            <w:bottom w:w="0" w:type="dxa"/>
            <w:right w:w="28" w:type="dxa"/>
          </w:tblCellMar>
        </w:tblPrEx>
        <w:trPr>
          <w:trHeight w:val="110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重点工作办结率（10分）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10</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部门年度重点工作实际完成数与交办或下达数的比率，用以反映部门对重点工作的办理落实程度。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重点工作办结率=（重点工作实际完成数/交办或下达数）×100%。实际得分=办结率*10分</w:t>
            </w:r>
          </w:p>
        </w:tc>
      </w:tr>
      <w:tr>
        <w:tblPrEx>
          <w:tblLayout w:type="fixed"/>
          <w:tblCellMar>
            <w:top w:w="0" w:type="dxa"/>
            <w:left w:w="28" w:type="dxa"/>
            <w:bottom w:w="0" w:type="dxa"/>
            <w:right w:w="28" w:type="dxa"/>
          </w:tblCellMar>
        </w:tblPrEx>
        <w:trPr>
          <w:trHeight w:val="552" w:hRule="atLeast"/>
          <w:jc w:val="center"/>
        </w:trPr>
        <w:tc>
          <w:tcPr>
            <w:tcW w:w="482"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textDirection w:val="tbRlV"/>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   果（20分）</w:t>
            </w:r>
          </w:p>
        </w:tc>
        <w:tc>
          <w:tcPr>
            <w:tcW w:w="635"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履职</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效益（20分）</w:t>
            </w: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经济效益（5分）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部门履行职责对经济发展所带来的直接或间接影响。</w:t>
            </w:r>
          </w:p>
        </w:tc>
        <w:tc>
          <w:tcPr>
            <w:tcW w:w="3417"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按经济效益实现程度计算得分（5分）；按社会效益实现程度计算得分（5分）；按生态效益实现程度计算得分（5分）</w:t>
            </w:r>
          </w:p>
        </w:tc>
      </w:tr>
      <w:tr>
        <w:tblPrEx>
          <w:tblLayout w:type="fixed"/>
          <w:tblCellMar>
            <w:top w:w="0" w:type="dxa"/>
            <w:left w:w="28" w:type="dxa"/>
            <w:bottom w:w="0" w:type="dxa"/>
            <w:right w:w="28" w:type="dxa"/>
          </w:tblCellMar>
        </w:tblPrEx>
        <w:trPr>
          <w:trHeight w:val="542"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部门履行职责对社会发展所带来的直接或间接影响。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557"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生态效益（5分）</w:t>
            </w:r>
          </w:p>
        </w:tc>
        <w:tc>
          <w:tcPr>
            <w:tcW w:w="765" w:type="dxa"/>
            <w:tcBorders>
              <w:top w:val="single" w:color="auto" w:sz="4" w:space="0"/>
              <w:left w:val="nil"/>
              <w:bottom w:val="single" w:color="auto" w:sz="4" w:space="0"/>
              <w:right w:val="single" w:color="auto" w:sz="4" w:space="0"/>
            </w:tcBorders>
            <w:vAlign w:val="top"/>
          </w:tcPr>
          <w:p>
            <w:pPr>
              <w:tabs>
                <w:tab w:val="left" w:pos="2604"/>
              </w:tabs>
              <w:rPr>
                <w:rFonts w:hint="eastAsia"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部门履行职责对生态环境所带来的直接或间接影响。</w:t>
            </w:r>
          </w:p>
        </w:tc>
        <w:tc>
          <w:tcPr>
            <w:tcW w:w="3417"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Layout w:type="fixed"/>
          <w:tblCellMar>
            <w:top w:w="0" w:type="dxa"/>
            <w:left w:w="28" w:type="dxa"/>
            <w:bottom w:w="0" w:type="dxa"/>
            <w:right w:w="28" w:type="dxa"/>
          </w:tblCellMar>
        </w:tblPrEx>
        <w:trPr>
          <w:trHeight w:val="901" w:hRule="atLeast"/>
          <w:jc w:val="center"/>
        </w:trPr>
        <w:tc>
          <w:tcPr>
            <w:tcW w:w="482"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635" w:type="dxa"/>
            <w:vMerge w:val="continue"/>
            <w:tcBorders>
              <w:top w:val="nil"/>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c>
          <w:tcPr>
            <w:tcW w:w="1085" w:type="dxa"/>
            <w:tcBorders>
              <w:top w:val="nil"/>
              <w:left w:val="nil"/>
              <w:bottom w:val="single" w:color="auto" w:sz="4" w:space="0"/>
              <w:right w:val="single" w:color="auto" w:sz="4" w:space="0"/>
            </w:tcBorders>
            <w:tcMar>
              <w:top w:w="10" w:type="dxa"/>
              <w:left w:w="10" w:type="dxa"/>
              <w:bottom w:w="0" w:type="dxa"/>
              <w:right w:w="10" w:type="dxa"/>
            </w:tcMar>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社会公众或服务对象满意度（5分）</w:t>
            </w:r>
          </w:p>
        </w:tc>
        <w:tc>
          <w:tcPr>
            <w:tcW w:w="765" w:type="dxa"/>
            <w:tcBorders>
              <w:top w:val="single" w:color="auto" w:sz="4" w:space="0"/>
              <w:left w:val="nil"/>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4.5</w:t>
            </w:r>
          </w:p>
        </w:tc>
        <w:tc>
          <w:tcPr>
            <w:tcW w:w="2790" w:type="dxa"/>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社会公众或部门的服务对象对部门履职效果的满意程度。</w:t>
            </w:r>
          </w:p>
        </w:tc>
        <w:tc>
          <w:tcPr>
            <w:tcW w:w="3417" w:type="dxa"/>
            <w:tcBorders>
              <w:top w:val="nil"/>
              <w:left w:val="nil"/>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按收集到的服务对象的满意率计算得分（5分）</w:t>
            </w:r>
          </w:p>
        </w:tc>
      </w:tr>
      <w:tr>
        <w:tblPrEx>
          <w:tblLayout w:type="fixed"/>
          <w:tblCellMar>
            <w:top w:w="0" w:type="dxa"/>
            <w:left w:w="28" w:type="dxa"/>
            <w:bottom w:w="0" w:type="dxa"/>
            <w:right w:w="28" w:type="dxa"/>
          </w:tblCellMar>
        </w:tblPrEx>
        <w:trPr>
          <w:trHeight w:val="1247" w:hRule="atLeast"/>
          <w:jc w:val="center"/>
        </w:trPr>
        <w:tc>
          <w:tcPr>
            <w:tcW w:w="220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cs="仿宋_GB2312"/>
                <w:sz w:val="21"/>
                <w:szCs w:val="21"/>
                <w:lang w:eastAsia="zh-CN"/>
              </w:rPr>
              <w:t>合计</w:t>
            </w:r>
          </w:p>
        </w:tc>
        <w:tc>
          <w:tcPr>
            <w:tcW w:w="765"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top"/>
          </w:tcPr>
          <w:p>
            <w:pPr>
              <w:tabs>
                <w:tab w:val="left" w:pos="2604"/>
              </w:tabs>
              <w:rPr>
                <w:rFonts w:hint="default" w:ascii="仿宋_GB2312" w:hAnsi="仿宋_GB2312" w:eastAsia="仿宋_GB2312" w:cs="仿宋_GB2312"/>
                <w:sz w:val="21"/>
                <w:szCs w:val="21"/>
                <w:lang w:val="en-US" w:eastAsia="zh-CN"/>
              </w:rPr>
            </w:pPr>
            <w:r>
              <w:rPr>
                <w:rFonts w:hint="eastAsia" w:ascii="仿宋_GB2312" w:hAnsi="仿宋_GB2312" w:cs="仿宋_GB2312"/>
                <w:sz w:val="21"/>
                <w:szCs w:val="21"/>
                <w:lang w:val="en-US" w:eastAsia="zh-CN"/>
              </w:rPr>
              <w:t>97</w:t>
            </w:r>
            <w:bookmarkStart w:id="0" w:name="_GoBack"/>
            <w:bookmarkEnd w:id="0"/>
            <w:r>
              <w:rPr>
                <w:rFonts w:hint="eastAsia" w:ascii="仿宋_GB2312" w:hAnsi="仿宋_GB2312" w:cs="仿宋_GB2312"/>
                <w:sz w:val="21"/>
                <w:szCs w:val="21"/>
                <w:lang w:val="en-US" w:eastAsia="zh-CN"/>
              </w:rPr>
              <w:t>.5</w:t>
            </w:r>
          </w:p>
        </w:tc>
        <w:tc>
          <w:tcPr>
            <w:tcW w:w="2790"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tabs>
                <w:tab w:val="left" w:pos="2604"/>
              </w:tabs>
              <w:rPr>
                <w:rFonts w:hint="eastAsia" w:ascii="仿宋_GB2312" w:hAnsi="仿宋_GB2312" w:eastAsia="仿宋_GB2312" w:cs="仿宋_GB2312"/>
                <w:sz w:val="21"/>
                <w:szCs w:val="21"/>
              </w:rPr>
            </w:pPr>
          </w:p>
        </w:tc>
        <w:tc>
          <w:tcPr>
            <w:tcW w:w="3417"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rPr>
                <w:rFonts w:hint="eastAsia" w:ascii="仿宋_GB2312" w:hAnsi="仿宋_GB2312" w:eastAsia="仿宋_GB2312" w:cs="仿宋_GB2312"/>
                <w:kern w:val="0"/>
                <w:sz w:val="21"/>
                <w:szCs w:val="21"/>
              </w:rPr>
            </w:pPr>
          </w:p>
        </w:tc>
      </w:tr>
    </w:tbl>
    <w:p>
      <w:pPr>
        <w:rPr>
          <w:rFonts w:hint="eastAsia" w:ascii="仿宋_GB2312" w:hAnsi="仿宋_GB2312" w:eastAsia="仿宋_GB2312" w:cs="仿宋_GB2312"/>
          <w:sz w:val="24"/>
          <w:szCs w:val="24"/>
        </w:rPr>
      </w:pPr>
    </w:p>
    <w:sectPr>
      <w:footerReference r:id="rId3" w:type="default"/>
      <w:pgSz w:w="11906" w:h="16838"/>
      <w:pgMar w:top="1723" w:right="1800" w:bottom="1723" w:left="1800"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3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0F03D1"/>
    <w:rsid w:val="132E4195"/>
    <w:rsid w:val="45FD6295"/>
    <w:rsid w:val="4A1F22B8"/>
    <w:rsid w:val="652B2CCA"/>
    <w:rsid w:val="6D32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CW</cp:lastModifiedBy>
  <dcterms:modified xsi:type="dcterms:W3CDTF">2021-03-23T08:46:11Z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