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附件3-1：</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20" w:afterLines="50"/>
              <w:jc w:val="center"/>
              <w:rPr>
                <w:rFonts w:ascii="黑体" w:eastAsia="黑体"/>
                <w:b/>
                <w:bCs/>
                <w:sz w:val="18"/>
                <w:szCs w:val="18"/>
              </w:rPr>
            </w:pPr>
            <w:r>
              <w:rPr>
                <w:rFonts w:hint="eastAsia" w:ascii="黑体" w:eastAsia="黑体"/>
                <w:bCs/>
                <w:sz w:val="36"/>
                <w:szCs w:val="36"/>
              </w:rPr>
              <w:t xml:space="preserve"> 昆明市呈贡区</w:t>
            </w:r>
            <w:r>
              <w:rPr>
                <w:rFonts w:hint="eastAsia" w:ascii="黑体" w:eastAsia="黑体"/>
                <w:bCs/>
                <w:sz w:val="36"/>
                <w:szCs w:val="36"/>
                <w:lang w:val="en-US" w:eastAsia="zh-CN"/>
              </w:rPr>
              <w:t>沐春</w:t>
            </w:r>
            <w:bookmarkStart w:id="0" w:name="_GoBack"/>
            <w:bookmarkEnd w:id="0"/>
            <w:r>
              <w:rPr>
                <w:rFonts w:hint="eastAsia" w:ascii="黑体" w:eastAsia="黑体"/>
                <w:bCs/>
                <w:sz w:val="36"/>
                <w:szCs w:val="36"/>
              </w:rPr>
              <w:t>小学部门整体支出绩效自评指标评分表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一级</w:t>
            </w:r>
            <w:r>
              <w:rPr>
                <w:rFonts w:hint="eastAsia" w:ascii="仿宋_GB2312" w:hAnsi="仿宋_GB2312" w:cs="仿宋_GB2312"/>
                <w:b/>
                <w:bCs/>
                <w:sz w:val="21"/>
                <w:szCs w:val="21"/>
              </w:rPr>
              <w:br w:type="textWrapping"/>
            </w:r>
            <w:r>
              <w:rPr>
                <w:rFonts w:hint="eastAsia" w:ascii="仿宋_GB2312" w:hAnsi="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二级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三级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目标</w:t>
            </w:r>
            <w:r>
              <w:rPr>
                <w:rFonts w:hint="eastAsia" w:ascii="仿宋_GB2312" w:hAnsi="仿宋_GB2312" w:cs="仿宋_GB2312"/>
                <w:sz w:val="21"/>
                <w:szCs w:val="21"/>
              </w:rPr>
              <w:br w:type="textWrapping"/>
            </w:r>
            <w:r>
              <w:rPr>
                <w:rFonts w:hint="eastAsia" w:ascii="仿宋_GB2312" w:hAnsi="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w:t>
            </w:r>
            <w:r>
              <w:rPr>
                <w:rFonts w:hint="eastAsia" w:ascii="仿宋_GB2312" w:hAnsi="仿宋_GB2312" w:cs="仿宋_GB2312"/>
                <w:sz w:val="21"/>
                <w:szCs w:val="21"/>
              </w:rPr>
              <w:br w:type="textWrapping"/>
            </w:r>
            <w:r>
              <w:rPr>
                <w:rFonts w:hint="eastAsia" w:ascii="仿宋_GB2312" w:hAnsi="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48" w:beforeLines="20" w:after="48" w:afterLines="20"/>
              <w:rPr>
                <w:rFonts w:ascii="仿宋_GB2312" w:hAnsi="仿宋_GB2312" w:cs="仿宋_GB2312"/>
                <w:sz w:val="21"/>
                <w:szCs w:val="21"/>
              </w:rPr>
            </w:pPr>
            <w:r>
              <w:rPr>
                <w:rFonts w:hint="eastAsia" w:ascii="仿宋_GB2312" w:hAnsi="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48" w:beforeLines="20" w:after="48" w:afterLines="20"/>
              <w:rPr>
                <w:rFonts w:ascii="仿宋_GB2312" w:hAnsi="仿宋_GB2312" w:cs="仿宋_GB2312"/>
                <w:sz w:val="21"/>
                <w:szCs w:val="21"/>
              </w:rPr>
            </w:pPr>
            <w:r>
              <w:rPr>
                <w:rFonts w:hint="eastAsia" w:ascii="仿宋_GB2312" w:hAnsi="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48" w:beforeLines="20" w:after="48" w:afterLines="20"/>
              <w:rPr>
                <w:rFonts w:ascii="仿宋_GB2312" w:hAnsi="仿宋_GB2312" w:cs="仿宋_GB2312"/>
                <w:sz w:val="21"/>
                <w:szCs w:val="21"/>
              </w:rPr>
            </w:pPr>
            <w:r>
              <w:rPr>
                <w:rFonts w:hint="eastAsia" w:ascii="仿宋_GB2312" w:hAnsi="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 xml:space="preserve">         预算</w:t>
            </w:r>
          </w:p>
          <w:p>
            <w:pPr>
              <w:jc w:val="center"/>
              <w:rPr>
                <w:rFonts w:ascii="仿宋_GB2312" w:hAnsi="仿宋_GB2312" w:cs="仿宋_GB2312"/>
                <w:sz w:val="21"/>
                <w:szCs w:val="21"/>
              </w:rPr>
            </w:pP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w:t>
            </w:r>
            <w:r>
              <w:rPr>
                <w:rFonts w:hint="eastAsia" w:ascii="仿宋_GB2312" w:hAnsi="仿宋_GB2312" w:cs="仿宋_GB2312"/>
                <w:sz w:val="21"/>
                <w:szCs w:val="21"/>
              </w:rPr>
              <w:br w:type="textWrapping"/>
            </w: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职责</w:t>
            </w:r>
            <w:r>
              <w:rPr>
                <w:rFonts w:hint="eastAsia" w:ascii="仿宋_GB2312" w:hAnsi="仿宋_GB2312" w:cs="仿宋_GB2312"/>
                <w:sz w:val="21"/>
                <w:szCs w:val="21"/>
              </w:rPr>
              <w:br w:type="textWrapping"/>
            </w:r>
            <w:r>
              <w:rPr>
                <w:rFonts w:hint="eastAsia" w:ascii="仿宋_GB2312" w:hAnsi="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完成及时率=（及时完成实际工作数/计划工作数）×100%。1-4季度各得1分</w:t>
            </w:r>
            <w:r>
              <w:rPr>
                <w:rFonts w:hint="eastAsia" w:ascii="仿宋_GB2312" w:hAnsi="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履职</w:t>
            </w:r>
            <w:r>
              <w:rPr>
                <w:rFonts w:hint="eastAsia" w:ascii="仿宋_GB2312" w:hAnsi="仿宋_GB2312" w:cs="仿宋_GB2312"/>
                <w:sz w:val="21"/>
                <w:szCs w:val="21"/>
              </w:rPr>
              <w:br w:type="textWrapping"/>
            </w:r>
            <w:r>
              <w:rPr>
                <w:rFonts w:hint="eastAsia" w:ascii="仿宋_GB2312" w:hAnsi="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r>
              <w:rPr>
                <w:rFonts w:hint="eastAsia" w:ascii="仿宋_GB2312" w:hAnsi="仿宋_GB2312" w:cs="仿宋_GB2312"/>
                <w:sz w:val="21"/>
                <w:szCs w:val="21"/>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hint="eastAsia" w:ascii="仿宋_GB2312" w:hAnsi="仿宋_GB2312" w:cs="仿宋_GB2312"/>
                <w:sz w:val="21"/>
                <w:szCs w:val="21"/>
              </w:rPr>
              <w:t>100</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kern w:val="0"/>
                <w:sz w:val="21"/>
                <w:szCs w:val="21"/>
              </w:rPr>
            </w:pPr>
          </w:p>
        </w:tc>
      </w:tr>
    </w:tbl>
    <w:p>
      <w:pPr>
        <w:rPr>
          <w:rFonts w:ascii="仿宋_GB2312" w:hAnsi="仿宋_GB2312" w:cs="仿宋_GB2312"/>
          <w:sz w:val="24"/>
          <w:szCs w:val="24"/>
        </w:rPr>
      </w:pPr>
    </w:p>
    <w:sectPr>
      <w:footerReference r:id="rId3" w:type="default"/>
      <w:pgSz w:w="11906" w:h="16838"/>
      <w:pgMar w:top="1723" w:right="1800" w:bottom="1723"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3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23"/>
    <w:rsid w:val="003B6B31"/>
    <w:rsid w:val="00620423"/>
    <w:rsid w:val="00637692"/>
    <w:rsid w:val="100F03D1"/>
    <w:rsid w:val="104E0612"/>
    <w:rsid w:val="132E4195"/>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590</Words>
  <Characters>3366</Characters>
  <Lines>28</Lines>
  <Paragraphs>7</Paragraphs>
  <TotalTime>5</TotalTime>
  <ScaleCrop>false</ScaleCrop>
  <LinksUpToDate>false</LinksUpToDate>
  <CharactersWithSpaces>3949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PAN</cp:lastModifiedBy>
  <dcterms:modified xsi:type="dcterms:W3CDTF">2021-03-19T07:52:28Z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