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昆明市呈贡区第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小学三名工程经费、党员活动经费、创建工作及各项工作经费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项</w:t>
            </w:r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5B4017AD"/>
    <w:rsid w:val="68712C94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A62AF2C55F5940098C8BFDCBB4962EA2</vt:lpwstr>
  </property>
</Properties>
</file>