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atLeast"/>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呈贡区教育体育局</w:t>
      </w:r>
      <w:r>
        <w:rPr>
          <w:rFonts w:hint="eastAsia" w:ascii="方正小标宋_GBK" w:eastAsia="方正小标宋_GBK"/>
          <w:sz w:val="44"/>
          <w:szCs w:val="44"/>
          <w:lang w:val="en-US" w:eastAsia="zh-CN"/>
        </w:rPr>
        <w:t>2020年</w:t>
      </w:r>
      <w:r>
        <w:rPr>
          <w:rFonts w:hint="eastAsia" w:ascii="方正小标宋_GBK" w:eastAsia="方正小标宋_GBK"/>
          <w:sz w:val="44"/>
          <w:szCs w:val="44"/>
          <w:lang w:eastAsia="zh-CN"/>
        </w:rPr>
        <w:t>政府采购资金</w:t>
      </w:r>
      <w:r>
        <w:rPr>
          <w:rFonts w:hint="eastAsia" w:ascii="方正小标宋_GBK" w:eastAsia="方正小标宋_GBK"/>
          <w:sz w:val="44"/>
          <w:szCs w:val="44"/>
        </w:rPr>
        <w:t>项目</w:t>
      </w:r>
      <w:r>
        <w:rPr>
          <w:rFonts w:hint="eastAsia" w:ascii="方正小标宋_GBK" w:eastAsia="方正小标宋_GBK"/>
          <w:sz w:val="44"/>
          <w:szCs w:val="44"/>
          <w:lang w:eastAsia="zh-CN"/>
        </w:rPr>
        <w:t>支出绩效评价报告</w:t>
      </w:r>
    </w:p>
    <w:p>
      <w:pPr>
        <w:keepNext w:val="0"/>
        <w:keepLines w:val="0"/>
        <w:pageBreakBefore w:val="0"/>
        <w:kinsoku/>
        <w:wordWrap/>
        <w:overflowPunct/>
        <w:autoSpaceDE/>
        <w:autoSpaceDN/>
        <w:bidi w:val="0"/>
        <w:adjustRightInd/>
        <w:snapToGrid/>
        <w:spacing w:line="560" w:lineRule="atLeast"/>
        <w:ind w:firstLine="594" w:firstLineChars="200"/>
        <w:rPr>
          <w:rFonts w:ascii="仿宋_GB2312"/>
          <w:b/>
          <w:szCs w:val="32"/>
        </w:rPr>
      </w:pPr>
      <w:bookmarkStart w:id="0" w:name="_GoBack"/>
      <w:bookmarkEnd w:id="0"/>
    </w:p>
    <w:p>
      <w:pPr>
        <w:keepNext w:val="0"/>
        <w:keepLines w:val="0"/>
        <w:pageBreakBefore w:val="0"/>
        <w:kinsoku/>
        <w:wordWrap/>
        <w:overflowPunct/>
        <w:topLinePunct/>
        <w:autoSpaceDE/>
        <w:autoSpaceDN/>
        <w:bidi w:val="0"/>
        <w:adjustRightInd/>
        <w:snapToGrid/>
        <w:spacing w:line="560" w:lineRule="atLeas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9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呈贡区教育体育局高度重视政府采购工作，拟定了</w:t>
      </w:r>
      <w:r>
        <w:rPr>
          <w:rFonts w:hint="eastAsia" w:ascii="仿宋_GB2312" w:hAnsi="仿宋_GB2312" w:eastAsia="仿宋_GB2312" w:cs="仿宋_GB2312"/>
          <w:sz w:val="32"/>
          <w:szCs w:val="32"/>
        </w:rPr>
        <w:t>《昆明市呈贡区教局关于进一步加强政府采购工作规范采购行为的通知》，</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lang w:eastAsia="zh-CN"/>
        </w:rPr>
        <w:t>《</w:t>
      </w:r>
      <w:r>
        <w:rPr>
          <w:rFonts w:hint="eastAsia" w:ascii="仿宋_GB2312" w:hAnsi="仿宋_GB2312" w:eastAsia="仿宋_GB2312" w:cs="仿宋_GB2312"/>
        </w:rPr>
        <w:t>关于进一步加快呈贡新区教育改革和发展的决定</w:t>
      </w:r>
      <w:r>
        <w:rPr>
          <w:rFonts w:hint="eastAsia" w:ascii="仿宋_GB2312" w:hAnsi="仿宋_GB2312" w:eastAsia="仿宋_GB2312" w:cs="仿宋_GB2312"/>
          <w:lang w:eastAsia="zh-CN"/>
        </w:rPr>
        <w:t>》（</w:t>
      </w:r>
      <w:r>
        <w:rPr>
          <w:rFonts w:hint="eastAsia" w:ascii="仿宋_GB2312" w:hAnsi="仿宋_GB2312" w:eastAsia="仿宋_GB2312" w:cs="仿宋_GB2312"/>
        </w:rPr>
        <w:t>呈新工委发(2013)11号</w:t>
      </w:r>
      <w:r>
        <w:rPr>
          <w:rFonts w:hint="eastAsia" w:ascii="仿宋_GB2312" w:hAnsi="仿宋_GB2312" w:eastAsia="仿宋_GB2312" w:cs="仿宋_GB2312"/>
          <w:lang w:eastAsia="zh-CN"/>
        </w:rPr>
        <w:t>）和《合作办学协议书》约定，预算</w:t>
      </w:r>
      <w:r>
        <w:rPr>
          <w:rFonts w:hint="eastAsia" w:ascii="仿宋_GB2312" w:hAnsi="仿宋_GB2312" w:cs="仿宋_GB2312"/>
          <w:lang w:eastAsia="zh-CN"/>
        </w:rPr>
        <w:t>了</w:t>
      </w:r>
      <w:r>
        <w:rPr>
          <w:rFonts w:hint="eastAsia" w:ascii="仿宋_GB2312" w:hAnsi="仿宋_GB2312" w:eastAsia="仿宋_GB2312" w:cs="仿宋_GB2312"/>
          <w:lang w:val="en-US" w:eastAsia="zh-CN"/>
        </w:rPr>
        <w:t>2019年度</w:t>
      </w:r>
      <w:r>
        <w:rPr>
          <w:rFonts w:hint="eastAsia" w:ascii="仿宋_GB2312" w:hAnsi="仿宋_GB2312" w:eastAsia="仿宋_GB2312" w:cs="仿宋_GB2312"/>
          <w:lang w:eastAsia="zh-CN"/>
        </w:rPr>
        <w:t>采购资金，保证教育教学工作顺利开展。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640" w:leftChars="0" w:firstLine="0" w:firstLineChars="0"/>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640" w:leftChars="0"/>
        <w:textAlignment w:val="auto"/>
        <w:outlineLvl w:val="9"/>
        <w:rPr>
          <w:rFonts w:hint="default" w:ascii="仿宋_GB2312" w:hAnsi="宋体" w:eastAsia="仿宋_GB2312"/>
          <w:kern w:val="0"/>
          <w:sz w:val="32"/>
          <w:szCs w:val="32"/>
          <w:lang w:val="en-US" w:eastAsia="zh-CN"/>
        </w:rPr>
      </w:pPr>
      <w:r>
        <w:rPr>
          <w:rFonts w:hint="eastAsia" w:ascii="仿宋_GB2312" w:hAnsi="宋体"/>
          <w:kern w:val="0"/>
          <w:sz w:val="32"/>
          <w:szCs w:val="32"/>
          <w:lang w:val="en-US" w:eastAsia="zh-CN"/>
        </w:rPr>
        <w:t>1.项目绩效总目标</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lang w:val="en-US" w:eastAsia="zh-CN"/>
        </w:rPr>
      </w:pPr>
      <w:r>
        <w:rPr>
          <w:rFonts w:hint="eastAsia"/>
          <w:lang w:val="en-US" w:eastAsia="zh-CN"/>
        </w:rPr>
        <w:t>预算采购资金，主要用于教学设施设备的添置，资金全部到位，保证了学校教学秩序的正常开展。呈贡区教育体育局按政府采购的相关程序办理了政府采购审批手续，并安排相应的采购经费。</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lang w:val="en-US" w:eastAsia="zh-CN"/>
        </w:rPr>
      </w:pPr>
      <w:r>
        <w:rPr>
          <w:rFonts w:hint="eastAsia"/>
          <w:lang w:val="en-US" w:eastAsia="zh-CN"/>
        </w:rPr>
        <w:t>2.项目绩效阶段性目标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lang w:val="en-US" w:eastAsia="zh-CN"/>
        </w:rPr>
      </w:pPr>
      <w:r>
        <w:rPr>
          <w:rFonts w:hint="eastAsia"/>
          <w:lang w:eastAsia="zh-CN"/>
        </w:rPr>
        <w:t>为确保全区新开办学校和合作办学学校</w:t>
      </w:r>
      <w:r>
        <w:rPr>
          <w:rFonts w:hint="eastAsia"/>
          <w:lang w:val="en-US" w:eastAsia="zh-CN"/>
        </w:rPr>
        <w:t>2020年9月份新招学生的正常入学，</w:t>
      </w:r>
      <w:r>
        <w:rPr>
          <w:rFonts w:hint="eastAsia"/>
          <w:color w:val="auto"/>
          <w:highlight w:val="none"/>
          <w:lang w:val="en-US" w:eastAsia="zh-CN"/>
        </w:rPr>
        <w:t>2020年区财政预算安排了区教育体育局政府采购资金</w:t>
      </w:r>
      <w:r>
        <w:rPr>
          <w:rFonts w:hint="eastAsia"/>
          <w:lang w:val="en-US" w:eastAsia="zh-CN"/>
        </w:rPr>
        <w:t>925.0089万</w:t>
      </w:r>
      <w:r>
        <w:rPr>
          <w:rFonts w:hint="eastAsia"/>
          <w:color w:val="auto"/>
          <w:highlight w:val="none"/>
          <w:lang w:val="en-US" w:eastAsia="zh-CN"/>
        </w:rPr>
        <w:t>元，保障学校、幼儿园本年度教育教学及局机关设施设备按时采购，</w:t>
      </w:r>
      <w:r>
        <w:rPr>
          <w:rFonts w:hint="eastAsia"/>
          <w:lang w:val="en-US" w:eastAsia="zh-CN"/>
        </w:rPr>
        <w:t>学校教育教学工作顺利开展。</w:t>
      </w:r>
    </w:p>
    <w:p>
      <w:pPr>
        <w:keepNext w:val="0"/>
        <w:keepLines w:val="0"/>
        <w:pageBreakBefore w:val="0"/>
        <w:kinsoku/>
        <w:wordWrap/>
        <w:overflowPunct/>
        <w:topLinePunct/>
        <w:autoSpaceDE/>
        <w:autoSpaceDN/>
        <w:bidi w:val="0"/>
        <w:adjustRightInd/>
        <w:snapToGrid/>
        <w:spacing w:line="560" w:lineRule="atLeas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leftChars="200"/>
        <w:textAlignment w:val="auto"/>
        <w:rPr>
          <w:rFonts w:hint="eastAsia" w:ascii="仿宋_GB2312"/>
          <w:szCs w:val="32"/>
          <w:lang w:val="en-US" w:eastAsia="zh-CN"/>
        </w:rPr>
      </w:pPr>
      <w:r>
        <w:rPr>
          <w:rFonts w:hint="eastAsia" w:ascii="楷体_GB2312" w:hAnsi="楷体_GB2312" w:eastAsia="楷体_GB2312" w:cs="楷体_GB2312"/>
          <w:kern w:val="0"/>
          <w:sz w:val="32"/>
          <w:szCs w:val="32"/>
          <w:lang w:val="en-US" w:eastAsia="zh-CN"/>
        </w:rPr>
        <w:t>(一)项目资金情况分析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leftChars="200"/>
        <w:textAlignment w:val="auto"/>
        <w:rPr>
          <w:rFonts w:hint="eastAsia" w:ascii="仿宋_GB2312"/>
          <w:szCs w:val="32"/>
          <w:lang w:val="en-US" w:eastAsia="zh-CN"/>
        </w:rPr>
      </w:pPr>
      <w:r>
        <w:rPr>
          <w:rFonts w:hint="eastAsia" w:ascii="仿宋_GB2312"/>
          <w:szCs w:val="32"/>
          <w:lang w:val="en-US" w:eastAsia="zh-CN"/>
        </w:rPr>
        <w:t>1.项目资金到位情况分析。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640"/>
        <w:textAlignment w:val="auto"/>
        <w:rPr>
          <w:rFonts w:hint="eastAsia" w:ascii="仿宋_GB2312"/>
          <w:szCs w:val="32"/>
          <w:lang w:val="en-US" w:eastAsia="zh-CN"/>
        </w:rPr>
      </w:pPr>
      <w:r>
        <w:rPr>
          <w:rFonts w:hint="eastAsia" w:ascii="仿宋_GB2312"/>
          <w:szCs w:val="32"/>
          <w:lang w:val="en-US" w:eastAsia="zh-CN"/>
        </w:rPr>
        <w:t>呈贡区教育体育局2020年财政预算共安排政府采购资金925.0089万元，到位资金925.0089万元，到位率100%。</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2.项目资金使用情况。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除教体局设施设备采购资金留在教体局用于采购外，剩余各学校幼儿园的预算资金全部安排到校，采购资金由财政局直到各学校零余额帐户，由学校按实际中标价给供货商。教体局设施设备采购资金由局机关通过云南省政府采购管理信息系统录入采购数据，按实际中标价给供货商。具体采购项目如下：</w:t>
      </w:r>
    </w:p>
    <w:p>
      <w:pPr>
        <w:keepNext w:val="0"/>
        <w:keepLines w:val="0"/>
        <w:pageBreakBefore w:val="0"/>
        <w:numPr>
          <w:ilvl w:val="0"/>
          <w:numId w:val="0"/>
        </w:numPr>
        <w:kinsoku/>
        <w:wordWrap/>
        <w:overflowPunct/>
        <w:topLinePunct/>
        <w:autoSpaceDE/>
        <w:autoSpaceDN/>
        <w:bidi w:val="0"/>
        <w:adjustRightInd/>
        <w:snapToGrid/>
        <w:spacing w:line="560" w:lineRule="atLeast"/>
        <w:rPr>
          <w:rFonts w:hint="eastAsia" w:ascii="仿宋_GB2312"/>
          <w:szCs w:val="32"/>
          <w:lang w:val="en-US" w:eastAsia="zh-CN"/>
        </w:rPr>
      </w:pPr>
      <w:r>
        <w:rPr>
          <w:rFonts w:hint="eastAsia" w:ascii="仿宋_GB2312"/>
          <w:szCs w:val="32"/>
          <w:lang w:val="en-US" w:eastAsia="zh-CN"/>
        </w:rPr>
        <w:t>预算安排资金925.0089万元。</w:t>
      </w:r>
    </w:p>
    <w:tbl>
      <w:tblP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24"/>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1" w:hRule="atLeast"/>
        </w:trPr>
        <w:tc>
          <w:tcPr>
            <w:tcW w:w="63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bdr w:val="none" w:color="auto" w:sz="0" w:space="0"/>
                <w:lang w:val="en-US" w:eastAsia="zh-CN" w:bidi="ar"/>
              </w:rPr>
              <w:t>项目名称</w:t>
            </w:r>
          </w:p>
        </w:tc>
        <w:tc>
          <w:tcPr>
            <w:tcW w:w="16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bdr w:val="none" w:color="auto" w:sz="0" w:space="0"/>
                <w:lang w:val="en-US" w:eastAsia="zh-CN" w:bidi="ar"/>
              </w:rPr>
              <w:t>拨款金额（元）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中小学幼儿园设施设备采购资金（云大附中）</w:t>
            </w:r>
          </w:p>
        </w:tc>
        <w:tc>
          <w:tcPr>
            <w:tcW w:w="16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中小学幼儿园设施设备采购资金（一中）</w:t>
            </w:r>
          </w:p>
        </w:tc>
        <w:tc>
          <w:tcPr>
            <w:tcW w:w="165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至呈贡一中，中小学幼儿园设施设备采购资金</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443,125.00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呈贡一中 中小学幼儿园设施设备采购资金</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394,941.00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昆工附属呈贡学校采购安装防冲撞柱费用</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斗南学校中小学幼儿园教学设施设备采购资金</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二幼中小学幼儿园教学设施设备采购资金</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341,318.00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民大附小洛龙校区、斗南校区办公家具采购款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100,248.00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民大附小洛龙校区学生课桌椅采购款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78,320.00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民大附小斗南校区云计算机建设及音频系统采购款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民大附小洛龙校区、斗南校区办公耗材采购款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民大附小洛龙校区办公设备采购款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28,938.00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民大附小洛龙校区触控一体机采购款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民大附小洛龙校区多媒体教室、录播教室设备采购款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民大附小斗南校区触控一体机采购款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民大附小斗南校区录播教室、多媒体教室、美术教室、音乐教室设备采购款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499,500.00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民大附小斗南校区办公设备采购款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民大附小斗南校区LED电子会标采购款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民大附小斗南校区云计算机建设及音频系统采购款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民大附小斗南校区云计算机建设及音频系统采购款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民大附小斗南校区报告厅软质座椅采购款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民大附小（斗南校区）体育器材采购款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98,567.00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民大附小斗南校区学生课桌椅采购款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民大附小洛龙校区、斗南校区窗帘课桌布套采购款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80,861.00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昆工附属呈贡学校便捷式计算机、投影仪设备采购款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昆工附属呈贡学校打印机、办公电脑等设备采购款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昆工附属呈贡学校采购希沃交互职能平板采购款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128,995.00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昆工附属呈贡学校学生课桌椅、教师讲桌采购款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昆工附属呈贡学校网络广播采购款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昆工附属呈贡学校功能教室、会议室设备采购款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446,526.00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昆工附属呈贡学校立体安防监控采购款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63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昆工附属呈贡学校单色LED条屏、照相机、会议桌等设施设备采购款</w:t>
            </w:r>
          </w:p>
        </w:tc>
        <w:tc>
          <w:tcPr>
            <w:tcW w:w="16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233,350.00</w:t>
            </w:r>
          </w:p>
        </w:tc>
      </w:tr>
    </w:tbl>
    <w:p>
      <w:pPr>
        <w:keepNext w:val="0"/>
        <w:keepLines w:val="0"/>
        <w:pageBreakBefore w:val="0"/>
        <w:numPr>
          <w:ilvl w:val="0"/>
          <w:numId w:val="0"/>
        </w:numPr>
        <w:kinsoku/>
        <w:wordWrap/>
        <w:overflowPunct/>
        <w:autoSpaceDE/>
        <w:autoSpaceDN/>
        <w:bidi w:val="0"/>
        <w:adjustRightInd/>
        <w:snapToGrid/>
        <w:spacing w:line="560" w:lineRule="atLeast"/>
        <w:ind w:left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3.项目管理情况分析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169" w:leftChars="57" w:firstLine="422" w:firstLineChars="142"/>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下到各学校及幼儿园的政府采购资金由学校及幼儿园领导及相关经办人根据实际情况具体组织实施；教体局局机关的政府采购项目由各科室根据实际需要报送局办公室汇总采购数据，并按照2019年政府集中采购目录及标准报送办公室（财务）经办人，将采购数据录入云南省政府采购管理信息系统开展后续采购工作。</w:t>
      </w:r>
    </w:p>
    <w:p>
      <w:pPr>
        <w:keepNext w:val="0"/>
        <w:keepLines w:val="0"/>
        <w:pageBreakBefore w:val="0"/>
        <w:kinsoku/>
        <w:wordWrap/>
        <w:overflowPunct/>
        <w:topLinePunct/>
        <w:autoSpaceDE/>
        <w:autoSpaceDN/>
        <w:bidi w:val="0"/>
        <w:adjustRightInd/>
        <w:snapToGrid/>
        <w:spacing w:line="560" w:lineRule="atLeas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560" w:lineRule="atLeast"/>
        <w:ind w:left="800" w:leftChars="0" w:firstLine="0" w:firstLineChars="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项目组织情况分析。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240" w:leftChars="81" w:firstLine="594"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呈贡区教育体育局</w:t>
      </w:r>
      <w:r>
        <w:rPr>
          <w:rFonts w:hint="eastAsia" w:ascii="仿宋_GB2312" w:hAnsi="仿宋_GB2312" w:eastAsia="仿宋_GB2312" w:cs="仿宋_GB2312"/>
          <w:sz w:val="32"/>
          <w:szCs w:val="32"/>
          <w:lang w:val="en-US" w:eastAsia="zh-CN"/>
        </w:rPr>
        <w:t>政府采购严格按《云南省人民政府办公厅关于印发云南省201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年政府集中采购目录及标准的通知》和呈贡新区综合办公室《关于转发市政府办公厅昆明市行政事业单位国有资产管理办法的通知》并参照《昆明市市级行政事业单位国有资产配置标准》的要求进行采购。按照政府采购相关规定，呈贡区教育系统政府采购工作</w:t>
      </w:r>
      <w:r>
        <w:rPr>
          <w:rFonts w:hint="eastAsia" w:ascii="仿宋_GB2312" w:hAnsi="仿宋_GB2312" w:cs="仿宋_GB2312"/>
          <w:sz w:val="32"/>
          <w:szCs w:val="32"/>
          <w:lang w:val="en-US" w:eastAsia="zh-CN"/>
        </w:rPr>
        <w:t>以各预算单位为主体</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填报</w:t>
      </w:r>
      <w:r>
        <w:rPr>
          <w:rFonts w:hint="eastAsia" w:ascii="仿宋_GB2312" w:hAnsi="仿宋_GB2312" w:eastAsia="仿宋_GB2312" w:cs="仿宋_GB2312"/>
          <w:sz w:val="32"/>
          <w:szCs w:val="32"/>
          <w:lang w:val="en-US" w:eastAsia="zh-CN"/>
        </w:rPr>
        <w:t>政府采购审批表，并</w:t>
      </w:r>
      <w:r>
        <w:rPr>
          <w:rFonts w:hint="eastAsia" w:ascii="仿宋_GB2312" w:hAnsi="仿宋_GB2312" w:cs="仿宋_GB2312"/>
          <w:sz w:val="32"/>
          <w:szCs w:val="32"/>
          <w:lang w:val="en-US" w:eastAsia="zh-CN"/>
        </w:rPr>
        <w:t>以预算单位为主体</w:t>
      </w:r>
      <w:r>
        <w:rPr>
          <w:rFonts w:hint="eastAsia" w:ascii="仿宋_GB2312" w:hAnsi="仿宋_GB2312" w:eastAsia="仿宋_GB2312" w:cs="仿宋_GB2312"/>
          <w:sz w:val="32"/>
          <w:szCs w:val="32"/>
          <w:lang w:val="en-US" w:eastAsia="zh-CN"/>
        </w:rPr>
        <w:t>组织实施。</w:t>
      </w:r>
      <w:r>
        <w:rPr>
          <w:rFonts w:hint="eastAsia" w:ascii="仿宋_GB2312" w:hAnsi="仿宋_GB2312" w:cs="仿宋_GB2312"/>
          <w:sz w:val="32"/>
          <w:szCs w:val="32"/>
          <w:lang w:val="en-US" w:eastAsia="zh-CN"/>
        </w:rPr>
        <w:t>划到学校及幼儿园的政府采购资金在学校按照需求及政府采购标准将基础数据及相关附件录入云南省政府采购管理信息系统后，由主管局审核上传附件后报送至区财政局资金对口科室审核，再由区集采中心按照采购标准组织实施后续工作。</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560" w:lineRule="atLeast"/>
        <w:ind w:left="800" w:leftChars="0" w:firstLine="0" w:firstLineChars="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项目管理情况分析。</w:t>
      </w:r>
    </w:p>
    <w:p>
      <w:pPr>
        <w:keepNext w:val="0"/>
        <w:keepLines w:val="0"/>
        <w:pageBreakBefore w:val="0"/>
        <w:widowControl w:val="0"/>
        <w:kinsoku/>
        <w:wordWrap/>
        <w:overflowPunct/>
        <w:topLinePunct w:val="0"/>
        <w:autoSpaceDE/>
        <w:autoSpaceDN/>
        <w:bidi w:val="0"/>
        <w:adjustRightInd/>
        <w:snapToGrid/>
        <w:spacing w:line="560" w:lineRule="atLeast"/>
        <w:ind w:firstLine="594"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教育系统严格按照政府采购相关规定，</w:t>
      </w:r>
      <w:r>
        <w:rPr>
          <w:rFonts w:hint="eastAsia" w:ascii="仿宋_GB2312" w:hAnsi="仿宋_GB2312" w:cs="仿宋_GB2312"/>
          <w:sz w:val="32"/>
          <w:szCs w:val="32"/>
          <w:lang w:val="en-US" w:eastAsia="zh-CN"/>
        </w:rPr>
        <w:t>各预算单位在将政府采购数据录入云南省政府采购管理信息系统，按照流程审批后，由区集采中心</w:t>
      </w:r>
      <w:r>
        <w:rPr>
          <w:rFonts w:hint="eastAsia" w:ascii="仿宋_GB2312" w:hAnsi="仿宋_GB2312" w:eastAsia="仿宋_GB2312" w:cs="仿宋_GB2312"/>
          <w:sz w:val="32"/>
          <w:szCs w:val="32"/>
          <w:lang w:val="en-US" w:eastAsia="zh-CN"/>
        </w:rPr>
        <w:t>委托招标代理公司对公开招标和竞争性谈判项目进行招标代理，招标前后都将采购信息挂云南省政府采购网公示，评标人员由云南省专家库中抽取专家进行评标，评标过程全程摄像，并由区招监办和政府采购办工作人员全程监督。询价采购采购项目由采购单位组成三人以上单数的采购小组，分别询价三家后确定供货商，与采购单位签订合同。</w:t>
      </w:r>
    </w:p>
    <w:p>
      <w:pPr>
        <w:keepNext w:val="0"/>
        <w:keepLines w:val="0"/>
        <w:pageBreakBefore w:val="0"/>
        <w:kinsoku/>
        <w:wordWrap/>
        <w:overflowPunct/>
        <w:topLinePunct/>
        <w:autoSpaceDE/>
        <w:autoSpaceDN/>
        <w:bidi w:val="0"/>
        <w:adjustRightInd/>
        <w:snapToGrid/>
        <w:spacing w:line="560" w:lineRule="atLeas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kinsoku/>
        <w:wordWrap/>
        <w:overflowPunct/>
        <w:topLinePunct/>
        <w:autoSpaceDE/>
        <w:autoSpaceDN/>
        <w:bidi w:val="0"/>
        <w:adjustRightInd/>
        <w:snapToGrid/>
        <w:spacing w:line="560" w:lineRule="atLeast"/>
        <w:ind w:firstLine="594" w:firstLineChars="200"/>
        <w:jc w:val="both"/>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kinsoku/>
        <w:wordWrap/>
        <w:overflowPunct/>
        <w:topLinePunct/>
        <w:autoSpaceDE/>
        <w:autoSpaceDN/>
        <w:bidi w:val="0"/>
        <w:adjustRightInd/>
        <w:snapToGrid/>
        <w:spacing w:line="560" w:lineRule="atLeas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eastAsia="zh-CN"/>
        </w:rPr>
      </w:pPr>
      <w:r>
        <w:rPr>
          <w:rFonts w:hint="eastAsia" w:ascii="仿宋_GB2312"/>
          <w:szCs w:val="32"/>
          <w:lang w:eastAsia="zh-CN"/>
        </w:rPr>
        <w:t>以前年度政府采购资金由主管局统一预算，各学校幼儿园在报送采购数据后由主管局统一实施采购，采购实施进度缓慢。本年度采购资金实际付到各学校幼儿园，各学校幼儿园通过云南省政府采购信息管理系统申报政府采购，资金付使用及时，采购效率更高，更及时的为教育教学工作提供保障。</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黑体" w:hAnsi="黑体" w:eastAsia="黑体" w:cs="宋体"/>
          <w:bCs/>
          <w:sz w:val="32"/>
          <w:szCs w:val="32"/>
          <w:lang w:eastAsia="zh-CN"/>
        </w:rPr>
      </w:pPr>
      <w:r>
        <w:rPr>
          <w:rFonts w:hint="eastAsia" w:ascii="仿宋_GB2312"/>
          <w:szCs w:val="32"/>
          <w:lang w:eastAsia="zh-CN"/>
        </w:rPr>
        <w:t>政采云平台上线，需加强学习平台的操作流程，更加熟悉政府采购的相关政策法规，做好政府采购的相关工作。</w:t>
      </w:r>
    </w:p>
    <w:p>
      <w:pPr>
        <w:keepNext w:val="0"/>
        <w:keepLines w:val="0"/>
        <w:pageBreakBefore w:val="0"/>
        <w:kinsoku/>
        <w:wordWrap/>
        <w:overflowPunct/>
        <w:topLinePunct/>
        <w:autoSpaceDE/>
        <w:autoSpaceDN/>
        <w:bidi w:val="0"/>
        <w:adjustRightInd/>
        <w:snapToGrid/>
        <w:spacing w:line="560" w:lineRule="atLeas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autoSpaceDE/>
        <w:autoSpaceDN/>
        <w:bidi w:val="0"/>
        <w:adjustRightInd/>
        <w:snapToGrid/>
        <w:spacing w:line="560" w:lineRule="atLeast"/>
        <w:ind w:firstLine="594" w:firstLineChars="200"/>
        <w:rPr>
          <w:rFonts w:hint="eastAsia" w:eastAsia="仿宋_GB2312"/>
          <w:lang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20C3"/>
    <w:multiLevelType w:val="singleLevel"/>
    <w:tmpl w:val="234B20C3"/>
    <w:lvl w:ilvl="0" w:tentative="0">
      <w:start w:val="1"/>
      <w:numFmt w:val="chineseCounting"/>
      <w:suff w:val="nothing"/>
      <w:lvlText w:val="（%1）"/>
      <w:lvlJc w:val="left"/>
      <w:pPr>
        <w:ind w:left="640" w:leftChars="0" w:firstLine="0" w:firstLineChars="0"/>
      </w:pPr>
      <w:rPr>
        <w:rFonts w:hint="eastAsia"/>
      </w:rPr>
    </w:lvl>
  </w:abstractNum>
  <w:abstractNum w:abstractNumId="1">
    <w:nsid w:val="59E04AF9"/>
    <w:multiLevelType w:val="singleLevel"/>
    <w:tmpl w:val="59E04AF9"/>
    <w:lvl w:ilvl="0" w:tentative="0">
      <w:start w:val="1"/>
      <w:numFmt w:val="decimal"/>
      <w:lvlText w:val="%1."/>
      <w:lvlJc w:val="left"/>
      <w:pPr>
        <w:tabs>
          <w:tab w:val="left" w:pos="312"/>
        </w:tabs>
        <w:ind w:left="8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6DBA"/>
    <w:rsid w:val="03C41E5C"/>
    <w:rsid w:val="054D0FBA"/>
    <w:rsid w:val="05AE36CA"/>
    <w:rsid w:val="083531FD"/>
    <w:rsid w:val="0E8A78B7"/>
    <w:rsid w:val="0F107565"/>
    <w:rsid w:val="11674DB2"/>
    <w:rsid w:val="1D18318B"/>
    <w:rsid w:val="1E071305"/>
    <w:rsid w:val="1F126B22"/>
    <w:rsid w:val="24437C29"/>
    <w:rsid w:val="2B270903"/>
    <w:rsid w:val="2E997847"/>
    <w:rsid w:val="324569EA"/>
    <w:rsid w:val="378A5996"/>
    <w:rsid w:val="38DA619C"/>
    <w:rsid w:val="397B2003"/>
    <w:rsid w:val="451E4ED1"/>
    <w:rsid w:val="4F8B21C3"/>
    <w:rsid w:val="50167982"/>
    <w:rsid w:val="53DA3D62"/>
    <w:rsid w:val="5638410C"/>
    <w:rsid w:val="565F6B30"/>
    <w:rsid w:val="5A3C6978"/>
    <w:rsid w:val="5A8E5F24"/>
    <w:rsid w:val="5C675663"/>
    <w:rsid w:val="63BE2563"/>
    <w:rsid w:val="64610A84"/>
    <w:rsid w:val="656874A1"/>
    <w:rsid w:val="67600811"/>
    <w:rsid w:val="6B301CF4"/>
    <w:rsid w:val="6E7B471E"/>
    <w:rsid w:val="704E1D1B"/>
    <w:rsid w:val="751A2338"/>
    <w:rsid w:val="7CA5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2021-03-12T01:16:50Z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