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Cs w:val="32"/>
          <w:highlight w:val="none"/>
          <w:lang w:val="en-US" w:eastAsia="zh-CN"/>
        </w:rPr>
        <w:t>4-2</w:t>
      </w:r>
      <w:r>
        <w:rPr>
          <w:rFonts w:ascii="黑体" w:eastAsia="黑体"/>
          <w:color w:val="auto"/>
          <w:szCs w:val="32"/>
          <w:highlight w:val="none"/>
        </w:rPr>
        <w:t>:</w:t>
      </w:r>
    </w:p>
    <w:p>
      <w:pPr>
        <w:rPr>
          <w:rFonts w:ascii="黑体" w:eastAsia="黑体"/>
          <w:color w:val="auto"/>
          <w:szCs w:val="32"/>
          <w:highlight w:val="none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highlight w:val="none"/>
        </w:rPr>
        <w:t>昆外校呈贡校区（世青国际学校）建设项目市级专项资金项目支出绩效报告</w:t>
      </w:r>
      <w:r>
        <w:rPr>
          <w:rFonts w:hint="eastAsia" w:ascii="方正小标宋_GBK" w:eastAsia="方正小标宋_GBK"/>
          <w:color w:val="auto"/>
          <w:sz w:val="36"/>
          <w:szCs w:val="36"/>
          <w:highlight w:val="none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color w:val="auto"/>
          <w:szCs w:val="32"/>
          <w:highlight w:val="none"/>
        </w:rPr>
      </w:pP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</w:rPr>
        <w:t>（一）项目基本情况简介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。</w:t>
      </w:r>
    </w:p>
    <w:p>
      <w:pPr>
        <w:topLinePunct/>
        <w:ind w:firstLine="594" w:firstLineChars="200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</w:rPr>
        <w:t>昆明市外国语学校呈贡校区建设项目位于呈贡区乌龙片区，北邻金盾俊园东侧，南侧为30m规划道路，西侧现状为空地，项目净用地面积为124.93亩，总建筑面积为84849.42㎡，拟建成30班小学+28班初中+12班高中。目前项目土地款（12493万元）已缴纳。项目分两期进行建设，一期工程建筑面积为30590㎡，初步设计概算约19004.0676万元，目前主体结构及室内装修工程已完成，正在进行室外绿化、给水及附属工程施工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（二）绩效目标设定及指标完成情况。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1.绩效目标设定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情况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本次安排项目市级专项资金共3540万元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2.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指标完成情况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截至至2020年12月底，3540万元全部拨付至项目代建单位（即：</w:t>
      </w:r>
      <w:r>
        <w:rPr>
          <w:rFonts w:hint="eastAsia" w:ascii="仿宋_GB2312"/>
          <w:color w:val="auto"/>
          <w:szCs w:val="32"/>
          <w:highlight w:val="none"/>
        </w:rPr>
        <w:t>昆明呈贡新区教育发展投资有限公司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），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用于支付学校项目建设进度款</w:t>
      </w:r>
      <w:r>
        <w:rPr>
          <w:rFonts w:hint="eastAsia" w:ascii="仿宋_GB2312"/>
          <w:color w:val="auto"/>
          <w:szCs w:val="32"/>
          <w:highlight w:val="none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二、</w:t>
      </w: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</w:rPr>
        <w:t>昆明市外国语学校呈贡校区建设项目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总投资约5.4亿元，一期</w:t>
      </w:r>
      <w:r>
        <w:rPr>
          <w:rFonts w:hint="eastAsia" w:ascii="仿宋_GB2312"/>
          <w:color w:val="auto"/>
          <w:szCs w:val="32"/>
          <w:highlight w:val="none"/>
        </w:rPr>
        <w:t>工程初步设计概算约19004.0676万元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项目</w:t>
      </w:r>
      <w:r>
        <w:rPr>
          <w:rFonts w:hint="eastAsia" w:ascii="仿宋_GB2312"/>
          <w:color w:val="auto"/>
          <w:szCs w:val="32"/>
          <w:highlight w:val="none"/>
        </w:rPr>
        <w:t>土地款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为</w:t>
      </w:r>
      <w:r>
        <w:rPr>
          <w:rFonts w:hint="eastAsia" w:ascii="仿宋_GB2312"/>
          <w:color w:val="auto"/>
          <w:szCs w:val="32"/>
          <w:highlight w:val="none"/>
        </w:rPr>
        <w:t>12493万元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已缴纳），目前到位资金共计24870万元（省级4263万元，市级7537万元，区级13070万元），所有款全部拨付至项目代建单位（即：</w:t>
      </w:r>
      <w:r>
        <w:rPr>
          <w:rFonts w:hint="eastAsia" w:ascii="仿宋_GB2312"/>
          <w:color w:val="auto"/>
          <w:szCs w:val="32"/>
          <w:highlight w:val="none"/>
        </w:rPr>
        <w:t>昆明呈贡新区教育发展投资有限公司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），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其中12493万元用于缴纳学校项目土地款，其他款项全部用于学校项目建设。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项目执行过程中，严格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按照2018年修订的《昆明市呈贡区教育局财务管理规定》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对项目经费实行专款专用，强化资金使用的监督，包括经费预算和计划的审核审批，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预算执行情况和程序的监督，确保了资金的使用效率和项目的顺利实施。</w:t>
      </w:r>
    </w:p>
    <w:p>
      <w:pPr>
        <w:topLinePunct/>
        <w:ind w:firstLine="594" w:firstLineChars="200"/>
        <w:rPr>
          <w:rFonts w:hint="eastAsia" w:ascii="黑体" w:eastAsia="黑体"/>
          <w:color w:val="auto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项目组织情况分析。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项目管理情况分析。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项目经区政府批准同意委托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平台公司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（即：</w:t>
      </w:r>
      <w:r>
        <w:rPr>
          <w:rFonts w:hint="eastAsia" w:ascii="仿宋_GB2312"/>
          <w:color w:val="auto"/>
          <w:szCs w:val="32"/>
          <w:highlight w:val="none"/>
        </w:rPr>
        <w:t>昆明呈贡新区教育发展投资有限公司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四</w:t>
      </w:r>
      <w:r>
        <w:rPr>
          <w:rFonts w:hint="eastAsia" w:ascii="黑体" w:eastAsia="黑体"/>
          <w:color w:val="auto"/>
          <w:szCs w:val="32"/>
          <w:highlight w:val="none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一）</w:t>
      </w:r>
      <w:r>
        <w:rPr>
          <w:rFonts w:hint="eastAsia" w:ascii="仿宋_GB2312"/>
          <w:color w:val="auto"/>
          <w:szCs w:val="32"/>
          <w:highlight w:val="none"/>
        </w:rPr>
        <w:t>项目经济性分析。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（1）项目成本（预算）控制情况。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项目成本控制在预算范围内。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（2）项目成本（预算）节约情况。</w:t>
      </w:r>
    </w:p>
    <w:p>
      <w:pPr>
        <w:topLinePunct/>
        <w:ind w:firstLine="594" w:firstLineChars="200"/>
        <w:jc w:val="both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无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二）</w:t>
      </w:r>
      <w:r>
        <w:rPr>
          <w:rFonts w:hint="eastAsia" w:ascii="仿宋_GB2312"/>
          <w:color w:val="auto"/>
          <w:szCs w:val="32"/>
          <w:highlight w:val="none"/>
        </w:rPr>
        <w:t>项目的效率性分析。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目前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一期工程</w:t>
      </w:r>
      <w:r>
        <w:rPr>
          <w:rFonts w:hint="eastAsia" w:ascii="仿宋_GB2312"/>
          <w:color w:val="auto"/>
          <w:szCs w:val="32"/>
          <w:highlight w:val="none"/>
        </w:rPr>
        <w:t>主体结构及室内装修工程已完成，正在进行室外绿化、给水及附属工程施工，项目实施进度符合绩效目标要求。工程质量经现场监理及质检等政府相关职能部门验收合格，均符合国家及地方验收标准。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三）</w:t>
      </w:r>
      <w:r>
        <w:rPr>
          <w:rFonts w:hint="eastAsia" w:ascii="仿宋_GB2312"/>
          <w:color w:val="auto"/>
          <w:szCs w:val="32"/>
          <w:highlight w:val="none"/>
        </w:rPr>
        <w:t>项目的有效性分析。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就项目绩效总目标而言，支出进度符合预期目标要求。项目资金使用有效推进了项目建设顺利进行，同时确保了春节期间农民工工资的顺利拨付。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四）</w:t>
      </w:r>
      <w:r>
        <w:rPr>
          <w:rFonts w:hint="eastAsia" w:ascii="仿宋_GB2312"/>
          <w:color w:val="auto"/>
          <w:szCs w:val="32"/>
          <w:highlight w:val="none"/>
        </w:rPr>
        <w:t>项目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可持续性分析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项目的实施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符合2018版《昆明市呈贡区中小学、幼儿园建设布点布局专项规划（修编）》成果要求</w:t>
      </w:r>
      <w:r>
        <w:rPr>
          <w:rFonts w:hint="eastAsia" w:ascii="仿宋_GB2312"/>
          <w:color w:val="auto"/>
          <w:szCs w:val="32"/>
          <w:highlight w:val="none"/>
        </w:rPr>
        <w:t>，进一步解决了呈贡雨花片区适龄儿童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、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子女</w:t>
      </w:r>
      <w:r>
        <w:rPr>
          <w:rFonts w:hint="eastAsia" w:ascii="仿宋_GB2312"/>
          <w:color w:val="auto"/>
          <w:szCs w:val="32"/>
          <w:highlight w:val="none"/>
        </w:rPr>
        <w:t>就近上学难的问题，让更多孩子接受高质量的学前教育及义务教育，更多孩子感受到了政府的温暖，健康快乐的成长，取得了一定的社会效益。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五</w:t>
      </w:r>
      <w:r>
        <w:rPr>
          <w:rFonts w:hint="eastAsia" w:ascii="黑体" w:eastAsia="黑体"/>
          <w:color w:val="auto"/>
          <w:szCs w:val="32"/>
          <w:highlight w:val="none"/>
        </w:rPr>
        <w:t>、存在的问题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（一）专项管理方面的问题。专项立项依据充分；有资金管理办法，资金管理办法规范等。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left="-6" w:leftChars="0" w:firstLine="606" w:firstLineChars="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（三）资金拨付方面的问题。拨付及时，无滞留、闲置等现象。</w:t>
      </w:r>
    </w:p>
    <w:p>
      <w:pPr>
        <w:topLinePunct/>
        <w:ind w:left="-6" w:leftChars="0" w:firstLine="606" w:firstLineChars="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（四）资金使用方面的问题。资金使用合规，无截留、挪用等现象，资金使用产生效益等。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六</w:t>
      </w:r>
      <w:r>
        <w:rPr>
          <w:rFonts w:hint="eastAsia" w:ascii="黑体" w:eastAsia="黑体"/>
          <w:color w:val="auto"/>
          <w:szCs w:val="32"/>
          <w:highlight w:val="none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（一）后续工作计划。</w:t>
      </w:r>
    </w:p>
    <w:p>
      <w:pPr>
        <w:topLinePunct/>
        <w:ind w:left="0" w:leftChars="0" w:firstLine="600" w:firstLineChars="202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下一步我局将继续加强项目资金使用与管理，认真谋划好项目，确保一期项目按期投入使用的同时稳步推进二期项目建设。</w:t>
      </w:r>
    </w:p>
    <w:p>
      <w:pPr>
        <w:topLinePunct/>
        <w:ind w:firstLine="594" w:firstLineChars="200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（二）主要经验做法、改进措施和有关建议等。</w:t>
      </w:r>
    </w:p>
    <w:p>
      <w:pPr>
        <w:ind w:left="0" w:leftChars="0" w:firstLine="2082" w:firstLineChars="701"/>
        <w:rPr>
          <w:rFonts w:hint="eastAsia" w:eastAsia="仿宋_GB2312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560E"/>
    <w:rsid w:val="04856599"/>
    <w:rsid w:val="05AE36CA"/>
    <w:rsid w:val="1371574B"/>
    <w:rsid w:val="19EF186E"/>
    <w:rsid w:val="22172DDD"/>
    <w:rsid w:val="29735D96"/>
    <w:rsid w:val="29F17A05"/>
    <w:rsid w:val="32AC3BB4"/>
    <w:rsid w:val="378A5996"/>
    <w:rsid w:val="3BF94B26"/>
    <w:rsid w:val="3DB439CE"/>
    <w:rsid w:val="3F6F444D"/>
    <w:rsid w:val="40017279"/>
    <w:rsid w:val="466A78F0"/>
    <w:rsid w:val="4B02496B"/>
    <w:rsid w:val="56BA75B1"/>
    <w:rsid w:val="5A3C6978"/>
    <w:rsid w:val="624339C2"/>
    <w:rsid w:val="63454239"/>
    <w:rsid w:val="6413245B"/>
    <w:rsid w:val="670548BD"/>
    <w:rsid w:val="67600811"/>
    <w:rsid w:val="71D14B31"/>
    <w:rsid w:val="785C1FF4"/>
    <w:rsid w:val="7EC1122F"/>
    <w:rsid w:val="7F2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2021-03-23T02:06:00Z</cp:lastPrinted>
  <dcterms:modified xsi:type="dcterms:W3CDTF">2021-03-23T08:14:27Z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