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auto"/>
          <w:szCs w:val="32"/>
          <w:highlight w:val="none"/>
        </w:rPr>
      </w:pPr>
      <w:r>
        <w:rPr>
          <w:rFonts w:hint="eastAsia" w:ascii="黑体" w:eastAsia="黑体"/>
          <w:color w:val="auto"/>
          <w:szCs w:val="32"/>
          <w:highlight w:val="none"/>
        </w:rPr>
        <w:t>附件</w:t>
      </w:r>
      <w:r>
        <w:rPr>
          <w:rFonts w:hint="eastAsia" w:ascii="黑体" w:eastAsia="黑体"/>
          <w:color w:val="auto"/>
          <w:szCs w:val="32"/>
          <w:highlight w:val="none"/>
          <w:lang w:val="en-US" w:eastAsia="zh-CN"/>
        </w:rPr>
        <w:t>4-2</w:t>
      </w:r>
      <w:r>
        <w:rPr>
          <w:rFonts w:ascii="黑体" w:eastAsia="黑体"/>
          <w:color w:val="auto"/>
          <w:szCs w:val="32"/>
          <w:highlight w:val="none"/>
        </w:rPr>
        <w:t>:</w:t>
      </w:r>
    </w:p>
    <w:p>
      <w:pPr>
        <w:spacing w:line="600" w:lineRule="exact"/>
        <w:jc w:val="center"/>
        <w:rPr>
          <w:rFonts w:hint="eastAsia" w:ascii="方正小标宋_GBK" w:eastAsia="方正小标宋_GBK"/>
          <w:color w:val="auto"/>
          <w:sz w:val="36"/>
          <w:szCs w:val="36"/>
          <w:highlight w:val="none"/>
        </w:rPr>
      </w:pPr>
      <w:bookmarkStart w:id="0" w:name="_GoBack"/>
      <w:bookmarkEnd w:id="0"/>
      <w:r>
        <w:rPr>
          <w:rFonts w:hint="eastAsia" w:ascii="方正小标宋_GBK" w:eastAsia="方正小标宋_GBK"/>
          <w:color w:val="auto"/>
          <w:sz w:val="36"/>
          <w:szCs w:val="36"/>
          <w:highlight w:val="none"/>
        </w:rPr>
        <w:t>呈贡区中小学（幼儿园）基础建设资金</w:t>
      </w:r>
    </w:p>
    <w:p>
      <w:pPr>
        <w:spacing w:line="600" w:lineRule="exact"/>
        <w:jc w:val="center"/>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项目支出绩效报告</w:t>
      </w:r>
      <w:r>
        <w:rPr>
          <w:rFonts w:hint="eastAsia" w:ascii="方正小标宋_GBK" w:eastAsia="方正小标宋_GBK"/>
          <w:color w:val="auto"/>
          <w:sz w:val="36"/>
          <w:szCs w:val="36"/>
          <w:highlight w:val="none"/>
          <w:lang w:eastAsia="zh-CN"/>
        </w:rPr>
        <w:t>（自评）</w:t>
      </w:r>
    </w:p>
    <w:p>
      <w:pPr>
        <w:spacing w:line="600" w:lineRule="exact"/>
        <w:ind w:firstLine="594" w:firstLineChars="200"/>
        <w:rPr>
          <w:rFonts w:ascii="仿宋_GB2312"/>
          <w:b/>
          <w:color w:val="auto"/>
          <w:szCs w:val="32"/>
          <w:highlight w:val="none"/>
        </w:rPr>
      </w:pPr>
    </w:p>
    <w:p>
      <w:pPr>
        <w:topLinePunct/>
        <w:ind w:firstLine="594" w:firstLineChars="200"/>
        <w:rPr>
          <w:rFonts w:ascii="黑体" w:eastAsia="黑体"/>
          <w:color w:val="auto"/>
          <w:szCs w:val="32"/>
          <w:highlight w:val="none"/>
        </w:rPr>
      </w:pPr>
      <w:r>
        <w:rPr>
          <w:rFonts w:hint="eastAsia" w:ascii="黑体" w:eastAsia="黑体"/>
          <w:color w:val="auto"/>
          <w:szCs w:val="32"/>
          <w:highlight w:val="none"/>
        </w:rPr>
        <w:t>一、项目基本情况</w:t>
      </w:r>
    </w:p>
    <w:p>
      <w:pPr>
        <w:topLinePunct/>
        <w:ind w:firstLine="594" w:firstLineChars="200"/>
        <w:rPr>
          <w:rFonts w:hint="eastAsia" w:ascii="仿宋_GB2312"/>
          <w:color w:val="auto"/>
          <w:szCs w:val="32"/>
          <w:highlight w:val="none"/>
          <w:lang w:eastAsia="zh-CN"/>
        </w:rPr>
      </w:pPr>
      <w:r>
        <w:rPr>
          <w:rFonts w:hint="eastAsia" w:ascii="仿宋_GB2312"/>
          <w:color w:val="auto"/>
          <w:szCs w:val="32"/>
          <w:highlight w:val="none"/>
        </w:rPr>
        <w:t>（一）项目基本情况简介</w:t>
      </w:r>
      <w:r>
        <w:rPr>
          <w:rFonts w:hint="eastAsia" w:ascii="仿宋_GB2312"/>
          <w:color w:val="auto"/>
          <w:szCs w:val="32"/>
          <w:highlight w:val="none"/>
          <w:lang w:eastAsia="zh-CN"/>
        </w:rPr>
        <w:t>。</w:t>
      </w:r>
    </w:p>
    <w:p>
      <w:pPr>
        <w:topLinePunct/>
        <w:ind w:firstLine="594" w:firstLineChars="200"/>
        <w:rPr>
          <w:rFonts w:hint="default" w:ascii="仿宋_GB2312" w:eastAsia="仿宋_GB2312"/>
          <w:color w:val="auto"/>
          <w:szCs w:val="32"/>
          <w:highlight w:val="none"/>
          <w:lang w:val="en-US" w:eastAsia="zh-CN"/>
        </w:rPr>
      </w:pPr>
      <w:r>
        <w:rPr>
          <w:rFonts w:hint="eastAsia" w:ascii="仿宋_GB2312"/>
          <w:color w:val="auto"/>
          <w:szCs w:val="32"/>
          <w:highlight w:val="none"/>
        </w:rPr>
        <w:t>2020年度呈贡区中小学（幼儿园）基础建设资金,主要用于呈贡区</w:t>
      </w:r>
      <w:r>
        <w:rPr>
          <w:rFonts w:hint="eastAsia" w:ascii="仿宋_GB2312"/>
          <w:color w:val="auto"/>
          <w:szCs w:val="32"/>
          <w:highlight w:val="none"/>
          <w:lang w:val="en-US" w:eastAsia="zh-CN"/>
        </w:rPr>
        <w:t>学校</w:t>
      </w:r>
      <w:r>
        <w:rPr>
          <w:rFonts w:hint="eastAsia" w:ascii="仿宋_GB2312"/>
          <w:color w:val="auto"/>
          <w:szCs w:val="32"/>
          <w:highlight w:val="none"/>
        </w:rPr>
        <w:t>、幼儿园项目建设</w:t>
      </w:r>
      <w:r>
        <w:rPr>
          <w:rFonts w:hint="eastAsia" w:ascii="仿宋_GB2312"/>
          <w:color w:val="auto"/>
          <w:szCs w:val="32"/>
          <w:highlight w:val="none"/>
          <w:lang w:eastAsia="zh-CN"/>
        </w:rPr>
        <w:t>、</w:t>
      </w:r>
      <w:r>
        <w:rPr>
          <w:rFonts w:hint="eastAsia" w:ascii="仿宋_GB2312"/>
          <w:color w:val="auto"/>
          <w:szCs w:val="32"/>
          <w:highlight w:val="none"/>
        </w:rPr>
        <w:t>土地款缴纳等。根据各项目代建单位的资金申请及区教</w:t>
      </w:r>
      <w:r>
        <w:rPr>
          <w:rFonts w:hint="eastAsia" w:ascii="仿宋_GB2312"/>
          <w:color w:val="auto"/>
          <w:szCs w:val="32"/>
          <w:highlight w:val="none"/>
          <w:lang w:val="en-US" w:eastAsia="zh-CN"/>
        </w:rPr>
        <w:t>体</w:t>
      </w:r>
      <w:r>
        <w:rPr>
          <w:rFonts w:hint="eastAsia" w:ascii="仿宋_GB2312"/>
          <w:color w:val="auto"/>
          <w:szCs w:val="32"/>
          <w:highlight w:val="none"/>
        </w:rPr>
        <w:t>局办公会会议决定，结合项目实际推进情况，项目大部分建设资金具体分配到了昆明呈贡新区教育发展投资有限公司、昆明市呈贡区城市投资集团有限公司、昆明春都城市建设投资有限公司</w:t>
      </w:r>
      <w:r>
        <w:rPr>
          <w:rFonts w:hint="eastAsia" w:ascii="仿宋_GB2312"/>
          <w:color w:val="auto"/>
          <w:szCs w:val="32"/>
          <w:highlight w:val="none"/>
          <w:lang w:eastAsia="zh-CN"/>
        </w:rPr>
        <w:t>，</w:t>
      </w:r>
      <w:r>
        <w:rPr>
          <w:rFonts w:hint="eastAsia" w:ascii="仿宋_GB2312"/>
          <w:color w:val="auto"/>
          <w:szCs w:val="32"/>
          <w:highlight w:val="none"/>
          <w:lang w:val="en-US" w:eastAsia="zh-CN"/>
        </w:rPr>
        <w:t>其中项目土地款按要求缴纳至政府相关职能部门。</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（二）绩效目标设定及指标完成情况。</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1.绩效目标设定</w:t>
      </w:r>
      <w:r>
        <w:rPr>
          <w:rFonts w:hint="eastAsia" w:ascii="仿宋_GB2312"/>
          <w:color w:val="auto"/>
          <w:szCs w:val="32"/>
          <w:highlight w:val="none"/>
          <w:lang w:val="en-US" w:eastAsia="zh-CN"/>
        </w:rPr>
        <w:t>情况</w:t>
      </w:r>
      <w:r>
        <w:rPr>
          <w:rFonts w:hint="eastAsia" w:ascii="仿宋_GB2312"/>
          <w:color w:val="auto"/>
          <w:szCs w:val="32"/>
          <w:highlight w:val="none"/>
        </w:rPr>
        <w:t>。</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呈贡区财政局年初安排中小学（幼儿园）基础建设资金19359.63万元，年底调增资金4000万元，2020年中小学（幼儿园）基础建设资金全部到位了23359.63万元。</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2.</w:t>
      </w:r>
      <w:r>
        <w:rPr>
          <w:rFonts w:hint="eastAsia" w:ascii="仿宋_GB2312"/>
          <w:color w:val="auto"/>
          <w:szCs w:val="32"/>
          <w:highlight w:val="none"/>
          <w:lang w:val="en-US" w:eastAsia="zh-CN"/>
        </w:rPr>
        <w:t>指标完成情况</w:t>
      </w:r>
      <w:r>
        <w:rPr>
          <w:rFonts w:hint="eastAsia" w:ascii="仿宋_GB2312"/>
          <w:color w:val="auto"/>
          <w:szCs w:val="32"/>
          <w:highlight w:val="none"/>
        </w:rPr>
        <w:t>。</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根据资金到位情况，结合2020年学校项目</w:t>
      </w:r>
      <w:r>
        <w:rPr>
          <w:rFonts w:hint="eastAsia" w:ascii="仿宋_GB2312"/>
          <w:color w:val="auto"/>
          <w:szCs w:val="32"/>
          <w:highlight w:val="none"/>
          <w:lang w:val="en-US" w:eastAsia="zh-CN"/>
        </w:rPr>
        <w:t>建设</w:t>
      </w:r>
      <w:r>
        <w:rPr>
          <w:rFonts w:hint="eastAsia" w:ascii="仿宋_GB2312"/>
          <w:color w:val="auto"/>
          <w:szCs w:val="32"/>
          <w:highlight w:val="none"/>
        </w:rPr>
        <w:t>实施进度，一季度没有支出金额，二季度实现支出6000万元，三季度实现支出13240.0032万元，四季度实现支出4119.6268万元，实现全年项目支出共计23359.63万元。</w:t>
      </w:r>
    </w:p>
    <w:p>
      <w:pPr>
        <w:topLinePunct/>
        <w:ind w:firstLine="594" w:firstLineChars="200"/>
        <w:rPr>
          <w:rFonts w:hint="eastAsia" w:ascii="黑体" w:eastAsia="黑体"/>
          <w:color w:val="auto"/>
          <w:szCs w:val="32"/>
          <w:highlight w:val="none"/>
        </w:rPr>
      </w:pPr>
      <w:r>
        <w:rPr>
          <w:rFonts w:hint="eastAsia" w:ascii="黑体" w:eastAsia="黑体"/>
          <w:color w:val="auto"/>
          <w:szCs w:val="32"/>
          <w:highlight w:val="none"/>
        </w:rPr>
        <w:t>二、</w:t>
      </w:r>
      <w:r>
        <w:rPr>
          <w:rFonts w:hint="eastAsia" w:ascii="黑体" w:eastAsia="黑体"/>
          <w:color w:val="auto"/>
          <w:szCs w:val="32"/>
          <w:highlight w:val="none"/>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2020年中小学（幼儿园）基础建设资金到位23359.63万元，项目实际支出23359.63万元，无结余。</w:t>
      </w:r>
      <w:r>
        <w:rPr>
          <w:rFonts w:hint="eastAsia" w:ascii="仿宋_GB2312" w:hAnsi="仿宋_GB2312" w:cs="仿宋_GB2312"/>
          <w:color w:val="auto"/>
          <w:szCs w:val="32"/>
          <w:highlight w:val="none"/>
          <w:lang w:val="en-US" w:eastAsia="zh-CN"/>
        </w:rPr>
        <w:t>其中：</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cs="仿宋_GB2312"/>
          <w:color w:val="auto"/>
          <w:szCs w:val="32"/>
          <w:highlight w:val="none"/>
          <w:lang w:val="en-US" w:eastAsia="zh-CN"/>
        </w:rPr>
        <w:t>拨付至</w:t>
      </w:r>
      <w:r>
        <w:rPr>
          <w:rFonts w:hint="eastAsia" w:ascii="仿宋_GB2312"/>
          <w:color w:val="auto"/>
          <w:szCs w:val="32"/>
          <w:highlight w:val="none"/>
        </w:rPr>
        <w:t>昆明呈贡新区教育发展投资有限公司</w:t>
      </w:r>
      <w:r>
        <w:rPr>
          <w:rFonts w:hint="eastAsia" w:ascii="仿宋_GB2312"/>
          <w:color w:val="auto"/>
          <w:szCs w:val="32"/>
          <w:highlight w:val="none"/>
          <w:lang w:val="en-US" w:eastAsia="zh-CN"/>
        </w:rPr>
        <w:t>代建学校项目专项资金共计14312.1023万元；</w:t>
      </w:r>
      <w:r>
        <w:rPr>
          <w:rFonts w:hint="eastAsia" w:ascii="仿宋_GB2312" w:hAnsi="仿宋_GB2312" w:cs="仿宋_GB2312"/>
          <w:color w:val="auto"/>
          <w:szCs w:val="32"/>
          <w:highlight w:val="none"/>
          <w:lang w:val="en-US" w:eastAsia="zh-CN"/>
        </w:rPr>
        <w:t>拨付至</w:t>
      </w:r>
      <w:r>
        <w:rPr>
          <w:rFonts w:hint="eastAsia" w:ascii="仿宋_GB2312"/>
          <w:color w:val="auto"/>
          <w:szCs w:val="32"/>
          <w:highlight w:val="none"/>
        </w:rPr>
        <w:t>昆明市呈贡区城市投资集团有限公司</w:t>
      </w:r>
      <w:r>
        <w:rPr>
          <w:rFonts w:hint="eastAsia" w:ascii="仿宋_GB2312"/>
          <w:color w:val="auto"/>
          <w:szCs w:val="32"/>
          <w:highlight w:val="none"/>
          <w:lang w:val="en-US" w:eastAsia="zh-CN"/>
        </w:rPr>
        <w:t>代建学校项目（呈贡区时代俊园小学建设项目）专项资金共计1500万元；</w:t>
      </w:r>
      <w:r>
        <w:rPr>
          <w:rFonts w:hint="eastAsia" w:ascii="仿宋_GB2312" w:hAnsi="仿宋_GB2312" w:cs="仿宋_GB2312"/>
          <w:color w:val="auto"/>
          <w:szCs w:val="32"/>
          <w:highlight w:val="none"/>
          <w:lang w:val="en-US" w:eastAsia="zh-CN"/>
        </w:rPr>
        <w:t>拨付至</w:t>
      </w:r>
      <w:r>
        <w:rPr>
          <w:rFonts w:hint="eastAsia" w:ascii="仿宋_GB2312"/>
          <w:color w:val="auto"/>
          <w:szCs w:val="32"/>
          <w:highlight w:val="none"/>
        </w:rPr>
        <w:t>昆明春都城市建设投资有限公司</w:t>
      </w:r>
      <w:r>
        <w:rPr>
          <w:rFonts w:hint="eastAsia" w:ascii="仿宋_GB2312"/>
          <w:color w:val="auto"/>
          <w:szCs w:val="32"/>
          <w:highlight w:val="none"/>
          <w:lang w:val="en-US" w:eastAsia="zh-CN"/>
        </w:rPr>
        <w:t>代建学校项目（云大附中呈贡校区二期建设项目）专项资金共计3307.2795万元；缴纳昆明中通世纪小学暨附属幼儿园建设项目土地款及公示费共计4240.0032万元；支付支付昆明市外国语学校呈贡校区、斗南街道中心幼儿园、昆明中通世纪学校暨附属幼儿园三个学校项目不动产登记费共计0.165万元；支付2020年公共资源交易管理暨投资服务业务培训费0.08万元。</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项目执行过程中，严格</w:t>
      </w:r>
      <w:r>
        <w:rPr>
          <w:rFonts w:hint="eastAsia" w:ascii="仿宋_GB2312" w:hAnsi="仿宋_GB2312" w:cs="仿宋_GB2312"/>
          <w:color w:val="auto"/>
          <w:szCs w:val="32"/>
          <w:highlight w:val="none"/>
          <w:lang w:val="en-US" w:eastAsia="zh-CN"/>
        </w:rPr>
        <w:t>按照2018年修订的《昆明市呈贡区教育局财务管理规定》</w:t>
      </w:r>
      <w:r>
        <w:rPr>
          <w:rFonts w:hint="eastAsia" w:ascii="仿宋_GB2312" w:hAnsi="仿宋_GB2312" w:eastAsia="仿宋_GB2312" w:cs="仿宋_GB2312"/>
          <w:color w:val="auto"/>
          <w:szCs w:val="32"/>
          <w:highlight w:val="none"/>
        </w:rPr>
        <w:t>对项目经费实行专款专用，强化资金使用的监督，包括经费预算和计划的审核审批，预算执行情况和程序的监督，确保了资金的使用效率和项目的顺利实施。</w:t>
      </w:r>
    </w:p>
    <w:p>
      <w:pPr>
        <w:topLinePunct/>
        <w:ind w:firstLine="594" w:firstLineChars="200"/>
        <w:rPr>
          <w:rFonts w:hint="eastAsia" w:ascii="黑体" w:eastAsia="黑体"/>
          <w:color w:val="auto"/>
          <w:szCs w:val="32"/>
          <w:highlight w:val="none"/>
          <w:lang w:eastAsia="zh-CN"/>
        </w:rPr>
      </w:pPr>
      <w:r>
        <w:rPr>
          <w:rFonts w:hint="eastAsia" w:ascii="黑体" w:eastAsia="黑体"/>
          <w:color w:val="auto"/>
          <w:szCs w:val="32"/>
          <w:highlight w:val="none"/>
          <w:lang w:eastAsia="zh-CN"/>
        </w:rPr>
        <w:t>三、项目组织实施情况</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一）</w:t>
      </w:r>
      <w:r>
        <w:rPr>
          <w:rFonts w:hint="eastAsia" w:ascii="仿宋_GB2312" w:hAnsi="仿宋_GB2312" w:eastAsia="仿宋_GB2312" w:cs="仿宋_GB2312"/>
          <w:color w:val="auto"/>
          <w:szCs w:val="32"/>
          <w:highlight w:val="none"/>
        </w:rPr>
        <w:t>项目组织情况分析。</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对于基础设施建设项目能够严格执行勘察、设计、项目法人责任制，招投标制、合同制、工程监理制、工程质量监督制等基本建设程序，本着科学合理、符合中小学发展的理念进行设计，在施工过程中，严防工程质量问题及安全事故发生，严格按建筑规范要求进行规划建设及施工，确保工程按质按量实施，并聘请了造价单位对项目施工过程进行了跟踪审计，项目结束后由区审计局安排中介机构对竣工决算进行最终审计，确保投资的真实合理。</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二）</w:t>
      </w:r>
      <w:r>
        <w:rPr>
          <w:rFonts w:hint="eastAsia" w:ascii="仿宋_GB2312" w:hAnsi="仿宋_GB2312" w:eastAsia="仿宋_GB2312" w:cs="仿宋_GB2312"/>
          <w:color w:val="auto"/>
          <w:szCs w:val="32"/>
          <w:highlight w:val="none"/>
        </w:rPr>
        <w:t>项目管理情况分析。</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呈贡区中小学（幼儿园）建设项目经区政府批准同意委托平台公司代建，负责项目前期阶段、施工阶段、竣工阶段所有工程相关事项，直至工程竣工验收交付使用。其中，</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呈贡区斗南中心幼儿园建设项目、新区二小排危重建校安工程建设项目、新区四小排危重建校安工程建设项目、呈贡区洛龙学校建设项目、呈贡区第一中学改扩建建设项目、昆明市外国语学校呈贡校区建设项目委托昆明呈贡新区教育发展投资有限公司代建；呈贡区时代俊园小学建设项目委托昆明市呈贡区城市投资集团有限公司代建；云大附中呈贡校区二期建设项目委托昆明春都城市建设投资有限公司代建。</w:t>
      </w:r>
    </w:p>
    <w:p>
      <w:pPr>
        <w:topLinePunct/>
        <w:ind w:firstLine="594" w:firstLineChars="200"/>
        <w:rPr>
          <w:rFonts w:ascii="黑体" w:eastAsia="黑体"/>
          <w:color w:val="auto"/>
          <w:szCs w:val="32"/>
          <w:highlight w:val="none"/>
        </w:rPr>
      </w:pPr>
      <w:r>
        <w:rPr>
          <w:rFonts w:hint="eastAsia" w:ascii="黑体" w:eastAsia="黑体"/>
          <w:color w:val="auto"/>
          <w:szCs w:val="32"/>
          <w:highlight w:val="none"/>
          <w:lang w:eastAsia="zh-CN"/>
        </w:rPr>
        <w:t>四</w:t>
      </w:r>
      <w:r>
        <w:rPr>
          <w:rFonts w:hint="eastAsia" w:ascii="黑体" w:eastAsia="黑体"/>
          <w:color w:val="auto"/>
          <w:szCs w:val="32"/>
          <w:highlight w:val="none"/>
        </w:rPr>
        <w:t>、项目绩效情况</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lang w:eastAsia="zh-CN"/>
        </w:rPr>
        <w:t>（</w:t>
      </w:r>
      <w:r>
        <w:rPr>
          <w:rFonts w:hint="eastAsia" w:ascii="仿宋_GB2312"/>
          <w:color w:val="auto"/>
          <w:szCs w:val="32"/>
          <w:highlight w:val="none"/>
          <w:lang w:val="en-US" w:eastAsia="zh-CN"/>
        </w:rPr>
        <w:t>一）</w:t>
      </w:r>
      <w:r>
        <w:rPr>
          <w:rFonts w:hint="eastAsia" w:ascii="仿宋_GB2312"/>
          <w:color w:val="auto"/>
          <w:szCs w:val="32"/>
          <w:highlight w:val="none"/>
        </w:rPr>
        <w:t>项目经济性分析。</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（1）项目成本（预算）控制情况。</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项目成本控制在预算范围内。</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（2）项目成本（预算）节约情况。</w:t>
      </w:r>
    </w:p>
    <w:p>
      <w:pPr>
        <w:topLinePunct/>
        <w:ind w:firstLine="594" w:firstLineChars="200"/>
        <w:jc w:val="both"/>
        <w:rPr>
          <w:rFonts w:hint="eastAsia" w:ascii="仿宋_GB2312"/>
          <w:color w:val="auto"/>
          <w:szCs w:val="32"/>
          <w:highlight w:val="none"/>
          <w:lang w:val="en-US" w:eastAsia="zh-CN"/>
        </w:rPr>
      </w:pPr>
      <w:r>
        <w:rPr>
          <w:rFonts w:hint="eastAsia" w:ascii="仿宋_GB2312"/>
          <w:color w:val="auto"/>
          <w:szCs w:val="32"/>
          <w:highlight w:val="none"/>
        </w:rPr>
        <w:t>昆明中通世纪小学暨附属幼儿园建设项目</w:t>
      </w:r>
      <w:r>
        <w:rPr>
          <w:rFonts w:hint="eastAsia" w:ascii="仿宋_GB2312"/>
          <w:color w:val="auto"/>
          <w:szCs w:val="32"/>
          <w:highlight w:val="none"/>
          <w:lang w:eastAsia="zh-CN"/>
        </w:rPr>
        <w:t>，</w:t>
      </w:r>
      <w:r>
        <w:rPr>
          <w:rFonts w:hint="eastAsia" w:ascii="仿宋_GB2312"/>
          <w:color w:val="auto"/>
          <w:szCs w:val="32"/>
          <w:highlight w:val="none"/>
          <w:lang w:val="en-US" w:eastAsia="zh-CN"/>
        </w:rPr>
        <w:t>用地面积（亩）约43.62亩，总建筑面积24398㎡，总投资16774.69万元。根据区委、区政府2014年9月通过的《昆明中通世纪投资有限公司与昆明市呈贡区教育局合作办学协议书》，依托昆明中通世纪投资有限公司（以下简称“公司”)资金优势出资规划和建设学校项目，为政府节约项目基础建设投资成本约1亿元。</w:t>
      </w:r>
    </w:p>
    <w:p>
      <w:pPr>
        <w:topLinePunct/>
        <w:ind w:firstLine="594" w:firstLineChars="200"/>
        <w:jc w:val="both"/>
        <w:rPr>
          <w:rFonts w:hint="default" w:ascii="仿宋_GB2312"/>
          <w:color w:val="auto"/>
          <w:szCs w:val="32"/>
          <w:highlight w:val="none"/>
          <w:lang w:val="en-US" w:eastAsia="zh-CN"/>
        </w:rPr>
      </w:pPr>
      <w:r>
        <w:rPr>
          <w:rFonts w:hint="default" w:ascii="仿宋_GB2312"/>
          <w:color w:val="auto"/>
          <w:szCs w:val="32"/>
          <w:highlight w:val="none"/>
          <w:lang w:val="en-US" w:eastAsia="zh-CN"/>
        </w:rPr>
        <w:t>CG-DN-09-02-01号地块学校（斗南第四小学）项目，项目用地面积约42亩，建筑面积约28350㎡，项目估算总投资14933.69万元</w:t>
      </w:r>
      <w:r>
        <w:rPr>
          <w:rFonts w:hint="eastAsia" w:ascii="仿宋_GB2312"/>
          <w:color w:val="auto"/>
          <w:szCs w:val="32"/>
          <w:highlight w:val="none"/>
          <w:lang w:val="en-US" w:eastAsia="zh-CN"/>
        </w:rPr>
        <w:t>，</w:t>
      </w:r>
      <w:r>
        <w:rPr>
          <w:rFonts w:hint="default" w:ascii="仿宋_GB2312"/>
          <w:color w:val="auto"/>
          <w:szCs w:val="32"/>
          <w:highlight w:val="none"/>
          <w:lang w:val="en-US" w:eastAsia="zh-CN"/>
        </w:rPr>
        <w:t>建成36班完全小学（即：民大附小斗南校区）。</w:t>
      </w:r>
      <w:r>
        <w:rPr>
          <w:rFonts w:hint="eastAsia" w:ascii="仿宋_GB2312"/>
          <w:color w:val="auto"/>
          <w:szCs w:val="32"/>
          <w:highlight w:val="none"/>
          <w:lang w:val="en-US" w:eastAsia="zh-CN"/>
        </w:rPr>
        <w:t>依据《CG-DN-09-02-01号地块学校投资建设协议》，该小学项目以呈贡区教育体育局为项目行政申报主体，由昆明蓝光房地产开发有限公司负责出资并与居住区项目同步规划、同步建设、同步交付使用，为政府节约项目基础建设投资成本约1亿元。</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lang w:eastAsia="zh-CN"/>
        </w:rPr>
        <w:t>（</w:t>
      </w:r>
      <w:r>
        <w:rPr>
          <w:rFonts w:hint="eastAsia" w:ascii="仿宋_GB2312"/>
          <w:color w:val="auto"/>
          <w:szCs w:val="32"/>
          <w:highlight w:val="none"/>
          <w:lang w:val="en-US" w:eastAsia="zh-CN"/>
        </w:rPr>
        <w:t>二）</w:t>
      </w:r>
      <w:r>
        <w:rPr>
          <w:rFonts w:hint="eastAsia" w:ascii="仿宋_GB2312"/>
          <w:color w:val="auto"/>
          <w:szCs w:val="32"/>
          <w:highlight w:val="none"/>
        </w:rPr>
        <w:t>项目的效率性分析。</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项目实施进度符合绩效目标要求</w:t>
      </w:r>
      <w:r>
        <w:rPr>
          <w:rFonts w:hint="eastAsia" w:ascii="仿宋_GB2312"/>
          <w:color w:val="auto"/>
          <w:szCs w:val="32"/>
          <w:highlight w:val="none"/>
          <w:lang w:eastAsia="zh-CN"/>
        </w:rPr>
        <w:t>，</w:t>
      </w:r>
      <w:r>
        <w:rPr>
          <w:rFonts w:hint="eastAsia" w:ascii="仿宋_GB2312"/>
          <w:color w:val="auto"/>
          <w:szCs w:val="32"/>
          <w:highlight w:val="none"/>
        </w:rPr>
        <w:t>项目质量均符合国家及地方验收标准。</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lang w:eastAsia="zh-CN"/>
        </w:rPr>
        <w:t>（</w:t>
      </w:r>
      <w:r>
        <w:rPr>
          <w:rFonts w:hint="eastAsia" w:ascii="仿宋_GB2312"/>
          <w:color w:val="auto"/>
          <w:szCs w:val="32"/>
          <w:highlight w:val="none"/>
          <w:lang w:val="en-US" w:eastAsia="zh-CN"/>
        </w:rPr>
        <w:t>三）</w:t>
      </w:r>
      <w:r>
        <w:rPr>
          <w:rFonts w:hint="eastAsia" w:ascii="仿宋_GB2312"/>
          <w:color w:val="auto"/>
          <w:szCs w:val="32"/>
          <w:highlight w:val="none"/>
        </w:rPr>
        <w:t>项目的有效性分析。</w:t>
      </w:r>
    </w:p>
    <w:p>
      <w:pPr>
        <w:topLinePunct/>
        <w:ind w:firstLine="594" w:firstLineChars="200"/>
        <w:jc w:val="both"/>
        <w:rPr>
          <w:rFonts w:hint="default" w:ascii="仿宋_GB2312" w:eastAsia="仿宋_GB2312"/>
          <w:color w:val="auto"/>
          <w:szCs w:val="32"/>
          <w:highlight w:val="none"/>
          <w:lang w:val="en-US" w:eastAsia="zh-CN"/>
        </w:rPr>
      </w:pPr>
      <w:r>
        <w:rPr>
          <w:rFonts w:hint="eastAsia" w:ascii="仿宋_GB2312"/>
          <w:color w:val="auto"/>
          <w:szCs w:val="32"/>
          <w:highlight w:val="none"/>
        </w:rPr>
        <w:t>就项目绩效总目标而言，支出进度完全符合预期目标要求；就区级绩效目标而言，一季度支出进度滞后，二季度按计划拨付，三季度超额完成，四季度圆满完成项目预期总目标任务。</w:t>
      </w:r>
      <w:r>
        <w:rPr>
          <w:rFonts w:hint="eastAsia" w:ascii="仿宋_GB2312"/>
          <w:color w:val="auto"/>
          <w:szCs w:val="32"/>
          <w:highlight w:val="none"/>
          <w:lang w:val="en-US" w:eastAsia="zh-CN"/>
        </w:rPr>
        <w:t>项目的实施促进了呈贡基础教育的发展，进一步缓解了片区适龄子女的入学需求，同步改善了在校师生的学习生活环境。</w:t>
      </w:r>
    </w:p>
    <w:p>
      <w:pPr>
        <w:topLinePunct/>
        <w:ind w:firstLine="594" w:firstLineChars="200"/>
        <w:jc w:val="both"/>
        <w:rPr>
          <w:rFonts w:hint="default" w:ascii="仿宋_GB2312" w:eastAsia="仿宋_GB2312"/>
          <w:color w:val="auto"/>
          <w:szCs w:val="32"/>
          <w:highlight w:val="none"/>
          <w:lang w:val="en-US" w:eastAsia="zh-CN"/>
        </w:rPr>
      </w:pPr>
      <w:r>
        <w:rPr>
          <w:rFonts w:hint="eastAsia" w:ascii="仿宋_GB2312"/>
          <w:color w:val="auto"/>
          <w:szCs w:val="32"/>
          <w:highlight w:val="none"/>
          <w:lang w:eastAsia="zh-CN"/>
        </w:rPr>
        <w:t>（</w:t>
      </w:r>
      <w:r>
        <w:rPr>
          <w:rFonts w:hint="eastAsia" w:ascii="仿宋_GB2312"/>
          <w:color w:val="auto"/>
          <w:szCs w:val="32"/>
          <w:highlight w:val="none"/>
          <w:lang w:val="en-US" w:eastAsia="zh-CN"/>
        </w:rPr>
        <w:t>四）</w:t>
      </w:r>
      <w:r>
        <w:rPr>
          <w:rFonts w:hint="eastAsia" w:ascii="仿宋_GB2312"/>
          <w:color w:val="auto"/>
          <w:szCs w:val="32"/>
          <w:highlight w:val="none"/>
        </w:rPr>
        <w:t>项目</w:t>
      </w:r>
      <w:r>
        <w:rPr>
          <w:rFonts w:hint="eastAsia" w:ascii="仿宋_GB2312"/>
          <w:color w:val="auto"/>
          <w:szCs w:val="32"/>
          <w:highlight w:val="none"/>
          <w:lang w:val="en-US" w:eastAsia="zh-CN"/>
        </w:rPr>
        <w:t>可持续性分析</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项目的实施，进一步解决了呈贡区适龄儿童、少年及外来务工子女就近上学难的问题，改善了呈贡区中小学的办学条件和校园环境，让更多孩子接受高质量的学前教育及义务教育，更多孩子感受到了政府的温暖，健康快乐的成长，取得了一定的社会效益。</w:t>
      </w:r>
    </w:p>
    <w:p>
      <w:pPr>
        <w:topLinePunct/>
        <w:ind w:firstLine="594" w:firstLineChars="200"/>
        <w:rPr>
          <w:rFonts w:ascii="黑体" w:eastAsia="黑体"/>
          <w:color w:val="auto"/>
          <w:szCs w:val="32"/>
          <w:highlight w:val="none"/>
        </w:rPr>
      </w:pPr>
      <w:r>
        <w:rPr>
          <w:rFonts w:hint="eastAsia" w:ascii="黑体" w:eastAsia="黑体"/>
          <w:color w:val="auto"/>
          <w:szCs w:val="32"/>
          <w:highlight w:val="none"/>
          <w:lang w:eastAsia="zh-CN"/>
        </w:rPr>
        <w:t>五</w:t>
      </w:r>
      <w:r>
        <w:rPr>
          <w:rFonts w:hint="eastAsia" w:ascii="黑体" w:eastAsia="黑体"/>
          <w:color w:val="auto"/>
          <w:szCs w:val="32"/>
          <w:highlight w:val="none"/>
        </w:rPr>
        <w:t>、存在的问题</w:t>
      </w:r>
    </w:p>
    <w:p>
      <w:pPr>
        <w:topLinePunct/>
        <w:ind w:firstLine="594" w:firstLineChars="200"/>
        <w:rPr>
          <w:rFonts w:ascii="仿宋_GB2312"/>
          <w:color w:val="auto"/>
          <w:szCs w:val="32"/>
          <w:highlight w:val="none"/>
        </w:rPr>
      </w:pPr>
      <w:r>
        <w:rPr>
          <w:rFonts w:hint="eastAsia" w:ascii="仿宋_GB2312"/>
          <w:color w:val="auto"/>
          <w:szCs w:val="32"/>
          <w:highlight w:val="none"/>
        </w:rPr>
        <w:t>（一）专项管理方面的问题。专项立项依据充分；有资金管理办法，资金管理办法规范等。</w:t>
      </w:r>
    </w:p>
    <w:p>
      <w:pPr>
        <w:topLinePunct/>
        <w:ind w:firstLine="594" w:firstLineChars="200"/>
        <w:rPr>
          <w:rFonts w:ascii="仿宋_GB2312"/>
          <w:color w:val="auto"/>
          <w:szCs w:val="32"/>
          <w:highlight w:val="none"/>
        </w:rPr>
      </w:pPr>
      <w:r>
        <w:rPr>
          <w:rFonts w:hint="eastAsia" w:ascii="仿宋_GB2312"/>
          <w:color w:val="auto"/>
          <w:szCs w:val="32"/>
          <w:highlight w:val="none"/>
        </w:rPr>
        <w:t>（二）资金分配方面的问题。资金分配合理，突出重点，公平公正；无散小差现象；资金分配和使用方向与资金管理办法相符。</w:t>
      </w:r>
    </w:p>
    <w:p>
      <w:pPr>
        <w:topLinePunct/>
        <w:ind w:left="-6" w:leftChars="0" w:firstLine="606" w:firstLineChars="0"/>
        <w:rPr>
          <w:rFonts w:hint="eastAsia" w:ascii="仿宋_GB2312"/>
          <w:color w:val="auto"/>
          <w:szCs w:val="32"/>
          <w:highlight w:val="none"/>
        </w:rPr>
      </w:pPr>
      <w:r>
        <w:rPr>
          <w:rFonts w:hint="eastAsia" w:ascii="仿宋_GB2312"/>
          <w:color w:val="auto"/>
          <w:szCs w:val="32"/>
          <w:highlight w:val="none"/>
        </w:rPr>
        <w:t>（三）资金拨付方面的问题。拨付及时，无滞留、闲置等现象。</w:t>
      </w:r>
    </w:p>
    <w:p>
      <w:pPr>
        <w:topLinePunct/>
        <w:ind w:left="-6" w:leftChars="0" w:firstLine="606" w:firstLineChars="0"/>
        <w:rPr>
          <w:rFonts w:ascii="仿宋_GB2312"/>
          <w:color w:val="auto"/>
          <w:szCs w:val="32"/>
          <w:highlight w:val="none"/>
        </w:rPr>
      </w:pPr>
      <w:r>
        <w:rPr>
          <w:rFonts w:hint="eastAsia" w:ascii="仿宋_GB2312"/>
          <w:color w:val="auto"/>
          <w:szCs w:val="32"/>
          <w:highlight w:val="none"/>
        </w:rPr>
        <w:t>（四）资金使用方面的问题。资金使用合规，无截留、挪用等现象，资金使用产生效益等。</w:t>
      </w:r>
    </w:p>
    <w:p>
      <w:pPr>
        <w:topLinePunct/>
        <w:ind w:firstLine="594" w:firstLineChars="200"/>
        <w:rPr>
          <w:rFonts w:ascii="黑体" w:eastAsia="黑体"/>
          <w:color w:val="auto"/>
          <w:szCs w:val="32"/>
          <w:highlight w:val="none"/>
        </w:rPr>
      </w:pPr>
      <w:r>
        <w:rPr>
          <w:rFonts w:hint="eastAsia" w:ascii="黑体" w:eastAsia="黑体"/>
          <w:color w:val="auto"/>
          <w:szCs w:val="32"/>
          <w:highlight w:val="none"/>
          <w:lang w:eastAsia="zh-CN"/>
        </w:rPr>
        <w:t>六</w:t>
      </w:r>
      <w:r>
        <w:rPr>
          <w:rFonts w:hint="eastAsia" w:ascii="黑体" w:eastAsia="黑体"/>
          <w:color w:val="auto"/>
          <w:szCs w:val="32"/>
          <w:highlight w:val="none"/>
        </w:rPr>
        <w:t>、其他需要说明的问题</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（一）后续工作计划。</w:t>
      </w:r>
    </w:p>
    <w:p>
      <w:pPr>
        <w:topLinePunct/>
        <w:ind w:left="0" w:leftChars="0" w:firstLine="600" w:firstLineChars="202"/>
        <w:rPr>
          <w:rFonts w:hint="default" w:ascii="仿宋_GB2312" w:eastAsia="仿宋_GB2312"/>
          <w:color w:val="auto"/>
          <w:szCs w:val="32"/>
          <w:highlight w:val="none"/>
          <w:lang w:val="en-US" w:eastAsia="zh-CN"/>
        </w:rPr>
      </w:pPr>
      <w:r>
        <w:rPr>
          <w:rFonts w:hint="eastAsia" w:ascii="仿宋_GB2312"/>
          <w:color w:val="auto"/>
          <w:szCs w:val="32"/>
          <w:highlight w:val="none"/>
          <w:lang w:val="en-US" w:eastAsia="zh-CN"/>
        </w:rPr>
        <w:t>下一步我局将继续加强项目资金使用与管理，认真谋划好项目，完善项目行政报批相关工作，力争每个交付使用的项目都完成终验。</w:t>
      </w:r>
    </w:p>
    <w:p>
      <w:pPr>
        <w:topLinePunct/>
        <w:ind w:firstLine="594" w:firstLineChars="200"/>
        <w:rPr>
          <w:rFonts w:ascii="仿宋_GB2312"/>
          <w:color w:val="auto"/>
          <w:szCs w:val="32"/>
          <w:highlight w:val="none"/>
        </w:rPr>
      </w:pPr>
      <w:r>
        <w:rPr>
          <w:rFonts w:hint="eastAsia" w:ascii="仿宋_GB2312"/>
          <w:color w:val="auto"/>
          <w:szCs w:val="32"/>
          <w:highlight w:val="none"/>
        </w:rPr>
        <w:t>（二）主要经验做法、改进措施和有关建议等。</w:t>
      </w:r>
    </w:p>
    <w:p>
      <w:pPr>
        <w:ind w:left="0" w:leftChars="0" w:firstLine="2082" w:firstLineChars="701"/>
        <w:rPr>
          <w:rFonts w:hint="eastAsia" w:eastAsia="仿宋_GB2312"/>
          <w:color w:val="auto"/>
          <w:highlight w:val="none"/>
          <w:lang w:val="en-US" w:eastAsia="zh-CN"/>
        </w:rPr>
      </w:pPr>
      <w:r>
        <w:rPr>
          <w:rFonts w:hint="eastAsia"/>
          <w:color w:val="auto"/>
          <w:highlight w:val="none"/>
          <w:lang w:val="en-US"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56599"/>
    <w:rsid w:val="05AE36CA"/>
    <w:rsid w:val="1371574B"/>
    <w:rsid w:val="201167ED"/>
    <w:rsid w:val="22172DDD"/>
    <w:rsid w:val="29735D96"/>
    <w:rsid w:val="32AC3BB4"/>
    <w:rsid w:val="378A5996"/>
    <w:rsid w:val="3DB439CE"/>
    <w:rsid w:val="40017279"/>
    <w:rsid w:val="466A78F0"/>
    <w:rsid w:val="4B02496B"/>
    <w:rsid w:val="5A3C6978"/>
    <w:rsid w:val="624339C2"/>
    <w:rsid w:val="6413245B"/>
    <w:rsid w:val="670548BD"/>
    <w:rsid w:val="67600811"/>
    <w:rsid w:val="785C1FF4"/>
    <w:rsid w:val="7EC1122F"/>
    <w:rsid w:val="7F293BCF"/>
    <w:rsid w:val="7F2D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cp:lastPrinted>2021-03-24T07:14:50Z</cp:lastPrinted>
  <dcterms:modified xsi:type="dcterms:W3CDTF">2021-03-24T07:14:51Z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