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B" w:rsidRPr="00671C89" w:rsidRDefault="00D2048B" w:rsidP="00A2452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71C89">
        <w:rPr>
          <w:rFonts w:ascii="Times New Roman" w:eastAsia="方正小标宋简体" w:hAnsi="Times New Roman" w:cs="Times New Roman"/>
          <w:sz w:val="44"/>
          <w:szCs w:val="44"/>
        </w:rPr>
        <w:t>昆明市</w:t>
      </w:r>
      <w:r w:rsidR="00A24524" w:rsidRPr="00671C89">
        <w:rPr>
          <w:rFonts w:ascii="Times New Roman" w:eastAsia="方正小标宋简体" w:hAnsi="Times New Roman" w:cs="Times New Roman"/>
          <w:sz w:val="44"/>
          <w:szCs w:val="44"/>
        </w:rPr>
        <w:t>呈贡区教育</w:t>
      </w:r>
      <w:r w:rsidR="00E07DE9" w:rsidRPr="00671C89">
        <w:rPr>
          <w:rFonts w:ascii="Times New Roman" w:eastAsia="方正小标宋简体" w:hAnsi="Times New Roman" w:cs="Times New Roman"/>
          <w:sz w:val="44"/>
          <w:szCs w:val="44"/>
        </w:rPr>
        <w:t>体育</w:t>
      </w:r>
      <w:r w:rsidR="00A24524" w:rsidRPr="00671C89">
        <w:rPr>
          <w:rFonts w:ascii="Times New Roman" w:eastAsia="方正小标宋简体" w:hAnsi="Times New Roman" w:cs="Times New Roman"/>
          <w:sz w:val="44"/>
          <w:szCs w:val="44"/>
        </w:rPr>
        <w:t>局</w:t>
      </w:r>
    </w:p>
    <w:p w:rsidR="00F40CEB" w:rsidRPr="00671C89" w:rsidRDefault="00A24524" w:rsidP="00A2452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71C89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8B1214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Pr="00671C89">
        <w:rPr>
          <w:rFonts w:ascii="Times New Roman" w:eastAsia="方正小标宋简体" w:hAnsi="Times New Roman" w:cs="Times New Roman"/>
          <w:sz w:val="44"/>
          <w:szCs w:val="44"/>
        </w:rPr>
        <w:t>年三名工程经费支出绩效评价报告</w:t>
      </w:r>
    </w:p>
    <w:p w:rsidR="00EB57D9" w:rsidRPr="00671C89" w:rsidRDefault="00EB57D9" w:rsidP="00CB567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B567C" w:rsidRPr="00671C89" w:rsidRDefault="00CB567C" w:rsidP="00CB567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根据昆明市呈贡区财政局</w:t>
      </w:r>
      <w:r w:rsidR="006D4FBB" w:rsidRPr="00671C89">
        <w:rPr>
          <w:rFonts w:ascii="Times New Roman" w:eastAsia="仿宋_GB2312" w:hAnsi="Times New Roman" w:cs="Times New Roman"/>
          <w:sz w:val="32"/>
          <w:szCs w:val="32"/>
        </w:rPr>
        <w:t>《关于对</w:t>
      </w:r>
      <w:r w:rsidR="006D4FBB"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6D4FBB" w:rsidRPr="00671C89">
        <w:rPr>
          <w:rFonts w:ascii="Times New Roman" w:eastAsia="仿宋_GB2312" w:hAnsi="Times New Roman" w:cs="Times New Roman"/>
          <w:sz w:val="32"/>
          <w:szCs w:val="32"/>
        </w:rPr>
        <w:t>年度预算支出开展绩效自评工作的通知》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文件要求，区教育</w:t>
      </w:r>
      <w:r w:rsidR="007935CE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局认真开展绩效自评工作。现将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年度呈贡区三名工程经费支出绩效自评情况汇报如下：</w:t>
      </w:r>
    </w:p>
    <w:p w:rsidR="00CB567C" w:rsidRPr="00671C89" w:rsidRDefault="00CB567C" w:rsidP="00CB567C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cs="Times New Roman"/>
          <w:b/>
          <w:szCs w:val="32"/>
        </w:rPr>
      </w:pPr>
      <w:r w:rsidRPr="00671C89">
        <w:rPr>
          <w:rFonts w:ascii="Times New Roman" w:hAnsi="仿宋_GB2312" w:cs="Times New Roman"/>
          <w:b/>
          <w:szCs w:val="32"/>
        </w:rPr>
        <w:t>基本情况</w:t>
      </w:r>
    </w:p>
    <w:p w:rsidR="00CB567C" w:rsidRPr="00671C89" w:rsidRDefault="00CB567C" w:rsidP="00CB567C">
      <w:pPr>
        <w:pStyle w:val="a3"/>
        <w:numPr>
          <w:ilvl w:val="0"/>
          <w:numId w:val="2"/>
        </w:numPr>
        <w:spacing w:line="560" w:lineRule="exact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项目概况</w:t>
      </w:r>
    </w:p>
    <w:p w:rsidR="00A9061D" w:rsidRPr="00671C89" w:rsidRDefault="004A7ACB" w:rsidP="0076361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为全面贯彻落实昆明市《昆明市名校名师名长工程实施方案》，不断推进教育创新，着力提升呈贡</w:t>
      </w:r>
      <w:r w:rsidR="00A534F5" w:rsidRPr="00671C89">
        <w:rPr>
          <w:rFonts w:ascii="Times New Roman" w:eastAsia="仿宋_GB2312" w:hAnsi="Times New Roman" w:cs="Times New Roman"/>
          <w:sz w:val="32"/>
          <w:szCs w:val="32"/>
        </w:rPr>
        <w:t>教育品质，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8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月，由中共昆明市呈贡区委、昆明市呈贡区人民政府印发了《昆明市呈贡区实施名校名师名长工程的实施方案的通知》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(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呈发（〔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号），</w:t>
      </w:r>
      <w:r w:rsidR="00C6527D" w:rsidRPr="00671C89">
        <w:rPr>
          <w:rFonts w:ascii="Times New Roman" w:eastAsia="仿宋_GB2312" w:hAnsi="Times New Roman" w:cs="Times New Roman"/>
          <w:sz w:val="32"/>
          <w:szCs w:val="32"/>
        </w:rPr>
        <w:t>在全区范围内实施打造名校、名师、名长的</w:t>
      </w:r>
      <w:r w:rsidR="00C6527D" w:rsidRPr="00671C89">
        <w:rPr>
          <w:rFonts w:ascii="Times New Roman" w:eastAsia="仿宋_GB2312" w:hAnsi="Times New Roman" w:cs="Times New Roman"/>
          <w:sz w:val="32"/>
          <w:szCs w:val="32"/>
        </w:rPr>
        <w:t>“</w:t>
      </w:r>
      <w:r w:rsidR="00C6527D" w:rsidRPr="00671C89">
        <w:rPr>
          <w:rFonts w:ascii="Times New Roman" w:eastAsia="仿宋_GB2312" w:hAnsi="Times New Roman" w:cs="Times New Roman"/>
          <w:sz w:val="32"/>
          <w:szCs w:val="32"/>
        </w:rPr>
        <w:t>三名工程</w:t>
      </w:r>
      <w:r w:rsidR="00C6527D" w:rsidRPr="00671C89">
        <w:rPr>
          <w:rFonts w:ascii="Times New Roman" w:eastAsia="仿宋_GB2312" w:hAnsi="Times New Roman" w:cs="Times New Roman"/>
          <w:sz w:val="32"/>
          <w:szCs w:val="32"/>
        </w:rPr>
        <w:t>”</w:t>
      </w:r>
      <w:r w:rsidR="00C6527D" w:rsidRPr="00671C8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明确全面实施呈贡区名校、名师、名长工程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“212”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行动计划，到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年，培育、引进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所</w:t>
      </w:r>
      <w:r w:rsidR="00A534F5" w:rsidRPr="00671C89">
        <w:rPr>
          <w:rFonts w:ascii="Times New Roman" w:eastAsia="仿宋_GB2312" w:hAnsi="Times New Roman" w:cs="Times New Roman"/>
          <w:sz w:val="32"/>
          <w:szCs w:val="32"/>
        </w:rPr>
        <w:t>区级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示范引领名校；培养、引进、评选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名教学名师和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名</w:t>
      </w:r>
      <w:proofErr w:type="gramStart"/>
      <w:r w:rsidRPr="00671C89">
        <w:rPr>
          <w:rFonts w:ascii="Times New Roman" w:eastAsia="仿宋_GB2312" w:hAnsi="Times New Roman" w:cs="Times New Roman"/>
          <w:sz w:val="32"/>
          <w:szCs w:val="32"/>
        </w:rPr>
        <w:t>名</w:t>
      </w:r>
      <w:proofErr w:type="gramEnd"/>
      <w:r w:rsidRPr="00671C89">
        <w:rPr>
          <w:rFonts w:ascii="Times New Roman" w:eastAsia="仿宋_GB2312" w:hAnsi="Times New Roman" w:cs="Times New Roman"/>
          <w:sz w:val="32"/>
          <w:szCs w:val="32"/>
        </w:rPr>
        <w:t>校长。通过发挥其支撑示范引领作用，促进全区教育发展水平的整体提升。</w:t>
      </w:r>
    </w:p>
    <w:p w:rsidR="0076361C" w:rsidRPr="00671C89" w:rsidRDefault="00C6527D" w:rsidP="0076361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呈贡区教育</w:t>
      </w:r>
      <w:r w:rsidR="007935CE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局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组织实施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了</w:t>
      </w:r>
      <w:r w:rsidR="006D4FBB" w:rsidRPr="00671C89">
        <w:rPr>
          <w:rFonts w:ascii="Times New Roman" w:eastAsia="仿宋_GB2312" w:hAnsi="Times New Roman" w:cs="Times New Roman"/>
          <w:sz w:val="32"/>
          <w:szCs w:val="32"/>
        </w:rPr>
        <w:t>第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届名校名师名</w:t>
      </w:r>
      <w:proofErr w:type="gramStart"/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长推评</w:t>
      </w:r>
      <w:proofErr w:type="gramEnd"/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认定工作</w:t>
      </w:r>
      <w:r w:rsidR="0076361C" w:rsidRPr="00671C89">
        <w:rPr>
          <w:rFonts w:ascii="Times New Roman" w:eastAsia="仿宋_GB2312" w:hAnsi="Times New Roman" w:cs="Times New Roman"/>
          <w:sz w:val="32"/>
        </w:rPr>
        <w:t>，认定名校</w:t>
      </w:r>
      <w:r w:rsidR="008B1214">
        <w:rPr>
          <w:rFonts w:ascii="Times New Roman" w:eastAsia="仿宋_GB2312" w:hAnsi="Times New Roman" w:cs="Times New Roman" w:hint="eastAsia"/>
          <w:sz w:val="32"/>
        </w:rPr>
        <w:t>5</w:t>
      </w:r>
      <w:r w:rsidR="0076361C" w:rsidRPr="00671C89">
        <w:rPr>
          <w:rFonts w:ascii="Times New Roman" w:eastAsia="仿宋_GB2312" w:hAnsi="Times New Roman" w:cs="Times New Roman"/>
          <w:sz w:val="32"/>
        </w:rPr>
        <w:t>所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，名师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名，名长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76361C" w:rsidRPr="00671C89">
        <w:rPr>
          <w:rFonts w:ascii="Times New Roman" w:eastAsia="仿宋_GB2312" w:hAnsi="Times New Roman" w:cs="Times New Roman"/>
          <w:sz w:val="32"/>
          <w:szCs w:val="32"/>
        </w:rPr>
        <w:t>名</w:t>
      </w:r>
      <w:r w:rsidR="005D688D" w:rsidRPr="00671C89">
        <w:rPr>
          <w:rFonts w:ascii="Times New Roman" w:eastAsia="仿宋_GB2312" w:hAnsi="Times New Roman" w:cs="Times New Roman"/>
          <w:sz w:val="32"/>
          <w:szCs w:val="32"/>
        </w:rPr>
        <w:t>。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为了更好地发挥名校、名师、名长的引领辐射带动作用，呈贡区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年财政安排三名工程经费</w:t>
      </w:r>
      <w:r w:rsidR="008B1214">
        <w:rPr>
          <w:rFonts w:ascii="Times New Roman" w:eastAsia="仿宋_GB2312" w:hAnsi="Times New Roman" w:cs="Times New Roman" w:hint="eastAsia"/>
          <w:sz w:val="32"/>
          <w:szCs w:val="32"/>
        </w:rPr>
        <w:t>1982.2133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万元，主要用于名校建设、名师培养、名长培育。</w:t>
      </w:r>
    </w:p>
    <w:p w:rsidR="00D96F4D" w:rsidRPr="00671C89" w:rsidRDefault="00D96F4D" w:rsidP="00D96F4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lastRenderedPageBreak/>
        <w:t>（二）项目绩效目标</w:t>
      </w:r>
    </w:p>
    <w:p w:rsidR="00D96F4D" w:rsidRPr="00671C89" w:rsidRDefault="00D96F4D" w:rsidP="00D96F4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相关经费的使用，用于名校基础设施建设、设施设备添置、校园文化建设</w:t>
      </w:r>
      <w:r w:rsidR="00EE51C0" w:rsidRPr="00671C89">
        <w:rPr>
          <w:rFonts w:ascii="Times New Roman" w:eastAsia="仿宋_GB2312" w:hAnsi="Times New Roman" w:cs="Times New Roman"/>
          <w:sz w:val="32"/>
          <w:szCs w:val="32"/>
        </w:rPr>
        <w:t>，用于名师、名长组建工作室的工作经费。通过该项目的实施，可以快速提升学校办学水平和教育质量，有利于推进呈</w:t>
      </w:r>
      <w:proofErr w:type="gramStart"/>
      <w:r w:rsidR="00EE51C0" w:rsidRPr="00671C89">
        <w:rPr>
          <w:rFonts w:ascii="Times New Roman" w:eastAsia="仿宋_GB2312" w:hAnsi="Times New Roman" w:cs="Times New Roman"/>
          <w:sz w:val="32"/>
          <w:szCs w:val="32"/>
        </w:rPr>
        <w:t>贡教育</w:t>
      </w:r>
      <w:proofErr w:type="gramEnd"/>
      <w:r w:rsidR="00EE51C0" w:rsidRPr="00671C89">
        <w:rPr>
          <w:rFonts w:ascii="Times New Roman" w:eastAsia="仿宋_GB2312" w:hAnsi="Times New Roman" w:cs="Times New Roman"/>
          <w:sz w:val="32"/>
          <w:szCs w:val="32"/>
        </w:rPr>
        <w:t>现代化、国际化、优质均衡化发展，</w:t>
      </w:r>
      <w:r w:rsidR="00A534F5" w:rsidRPr="00671C89">
        <w:rPr>
          <w:rFonts w:ascii="Times New Roman" w:eastAsia="仿宋_GB2312" w:hAnsi="Times New Roman" w:cs="Times New Roman"/>
          <w:sz w:val="32"/>
          <w:szCs w:val="32"/>
        </w:rPr>
        <w:t>打造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全省名校聚集、名师云集的优质教育资源高地，</w:t>
      </w:r>
      <w:r w:rsidR="00EE51C0" w:rsidRPr="00671C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44943" w:rsidRPr="00671C89" w:rsidRDefault="00A44943" w:rsidP="00A44943">
      <w:pPr>
        <w:spacing w:line="560" w:lineRule="exact"/>
        <w:ind w:left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二、项目单位绩效报告情况</w:t>
      </w:r>
    </w:p>
    <w:p w:rsidR="00A353E6" w:rsidRPr="00671C89" w:rsidRDefault="00A353E6" w:rsidP="00A353E6">
      <w:pPr>
        <w:widowControl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1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项目资金安排情况分析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44943" w:rsidRPr="00671C89" w:rsidRDefault="00D96F4D" w:rsidP="00A353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三名工程经费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使用严格按照</w:t>
      </w:r>
      <w:r w:rsidR="00EE51C0" w:rsidRPr="00671C89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文件执行，坚持合理使用、节约成本的原则，年初进行预算，</w:t>
      </w:r>
      <w:r w:rsidR="00F40FF0"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440BA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F40FF0" w:rsidRPr="00671C89">
        <w:rPr>
          <w:rFonts w:ascii="Times New Roman" w:eastAsia="仿宋_GB2312" w:hAnsi="Times New Roman" w:cs="Times New Roman"/>
          <w:sz w:val="32"/>
          <w:szCs w:val="32"/>
        </w:rPr>
        <w:t>年呈贡区财政下达资金</w:t>
      </w:r>
      <w:r w:rsidR="00440BA5">
        <w:rPr>
          <w:rFonts w:ascii="Times New Roman" w:eastAsia="仿宋_GB2312" w:hAnsi="Times New Roman" w:cs="Times New Roman" w:hint="eastAsia"/>
          <w:sz w:val="32"/>
          <w:szCs w:val="32"/>
        </w:rPr>
        <w:t>1982.2133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万元，资金到位率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100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％，全部用于名校建设和名师名长培育，截止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440BA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年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12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月全部按照计划执行，资金使用率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100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％。各项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经费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的使用严格按照相关程序执行，</w:t>
      </w:r>
      <w:r w:rsidR="00A44943" w:rsidRPr="00671C89">
        <w:rPr>
          <w:rFonts w:ascii="Times New Roman" w:eastAsia="仿宋_GB2312" w:hAnsi="Times New Roman" w:cs="Times New Roman"/>
          <w:sz w:val="32"/>
          <w:szCs w:val="32"/>
        </w:rPr>
        <w:t>经局办公会研究决定后实施。</w:t>
      </w:r>
      <w:r w:rsidR="00A353E6" w:rsidRPr="00671C89">
        <w:rPr>
          <w:rFonts w:ascii="Times New Roman" w:eastAsia="仿宋_GB2312" w:hAnsi="Times New Roman" w:cs="Times New Roman"/>
          <w:sz w:val="32"/>
          <w:szCs w:val="32"/>
        </w:rPr>
        <w:t>对于大额资金的使用经向区政府作请示，并按照政府批示使用。</w:t>
      </w:r>
      <w:r w:rsidR="004D31F4" w:rsidRPr="00671C89">
        <w:rPr>
          <w:rFonts w:ascii="Times New Roman" w:eastAsia="仿宋_GB2312" w:hAnsi="Times New Roman" w:cs="Times New Roman"/>
          <w:sz w:val="32"/>
          <w:szCs w:val="32"/>
        </w:rPr>
        <w:t>整个项目的实施按照申报、批复执行，资金的分配全面、合理。</w:t>
      </w:r>
    </w:p>
    <w:p w:rsidR="00F40FF0" w:rsidRPr="00671C89" w:rsidRDefault="00F40FF0" w:rsidP="00F40FF0">
      <w:pPr>
        <w:topLinePunct/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2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项目资金使用情况分析</w:t>
      </w:r>
    </w:p>
    <w:p w:rsidR="006B419E" w:rsidRPr="00E63A6C" w:rsidRDefault="00644039" w:rsidP="00644039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届</w:t>
      </w:r>
      <w:r w:rsidR="00B56EC1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区级名校的</w:t>
      </w:r>
      <w:r w:rsidR="006B419E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名校（园）补助资金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所）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12</w:t>
      </w:r>
      <w:r w:rsidR="00496F18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 w:rsidR="006B419E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D870AD" w:rsidRPr="00E63A6C" w:rsidRDefault="00D870AD" w:rsidP="00D870AD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）呈贡区第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届区级名校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名校（园）长基金（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所）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D5555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9F37F5" w:rsidRPr="00E63A6C" w:rsidRDefault="00644039" w:rsidP="009F37F5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D870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呈贡区第二届区级名校的名校（园）长基金（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所）</w:t>
      </w:r>
      <w:r w:rsidR="00496F18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D5555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496F18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="009F37F5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B419E" w:rsidRPr="00E63A6C" w:rsidRDefault="009F37F5" w:rsidP="00644039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D870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）呈贡区首届</w:t>
      </w:r>
      <w:r w:rsidR="00B56EC1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区级名校的</w:t>
      </w:r>
      <w:r w:rsidR="006B419E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名校（园）长基金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所）</w:t>
      </w:r>
      <w:r w:rsidR="006B419E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340</w:t>
      </w:r>
      <w:r w:rsidR="006B419E"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6B419E" w:rsidRPr="00E63A6C" w:rsidRDefault="00644039" w:rsidP="00644039">
      <w:pPr>
        <w:ind w:firstLineChars="150" w:firstLine="48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D870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E63A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首届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、二届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名师名长目标管理绩效考核奖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及第三届</w:t>
      </w:r>
      <w:proofErr w:type="gramStart"/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三名推评专家</w:t>
      </w:r>
      <w:proofErr w:type="gramEnd"/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考评工作餐费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101.6533</w:t>
      </w:r>
      <w:r w:rsidR="009B77AD"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万元；</w:t>
      </w:r>
    </w:p>
    <w:p w:rsidR="0029110E" w:rsidRPr="00E63A6C" w:rsidRDefault="0029110E" w:rsidP="00644039">
      <w:pPr>
        <w:ind w:firstLineChars="150" w:firstLine="48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D870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）第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届名校名师名</w:t>
      </w:r>
      <w:proofErr w:type="gramStart"/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长专家</w:t>
      </w:r>
      <w:proofErr w:type="gramEnd"/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考评费</w:t>
      </w:r>
      <w:r w:rsidR="00440B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0.56</w:t>
      </w:r>
      <w:r w:rsidRPr="00E63A6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</w:t>
      </w:r>
      <w:r w:rsidR="00D870A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A44943" w:rsidRPr="00671C89" w:rsidRDefault="00A44943" w:rsidP="00A4494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三、绩效评价工作情况</w:t>
      </w:r>
    </w:p>
    <w:p w:rsidR="003630D4" w:rsidRPr="00671C89" w:rsidRDefault="00FA1643" w:rsidP="003630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按照《昆明市呈贡区实施名校名师名长工程的实施方案的通知》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(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呈发（〔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13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号）《昆明市呈贡区名校名师名长工程实施细则（试行）》（</w:t>
      </w:r>
      <w:proofErr w:type="gramStart"/>
      <w:r w:rsidRPr="00671C89">
        <w:rPr>
          <w:rFonts w:ascii="Times New Roman" w:eastAsia="仿宋_GB2312" w:hAnsi="Times New Roman" w:cs="Times New Roman"/>
          <w:sz w:val="32"/>
          <w:szCs w:val="32"/>
        </w:rPr>
        <w:t>呈教通</w:t>
      </w:r>
      <w:proofErr w:type="gramEnd"/>
      <w:r w:rsidRPr="00671C89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86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号）文件精神，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区教育</w:t>
      </w:r>
      <w:r w:rsidR="00046711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局组建呈贡区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“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名校名师名长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”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评估认定专家库。</w:t>
      </w:r>
      <w:r w:rsidR="003630D4" w:rsidRPr="00671C89">
        <w:rPr>
          <w:rFonts w:ascii="Times New Roman" w:eastAsia="仿宋_GB2312" w:hAnsi="Times New Roman" w:cs="Times New Roman"/>
          <w:sz w:val="32"/>
        </w:rPr>
        <w:t>按照自下而上、逐级推荐、层层遴选、专家考评组综合评估等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程序，</w:t>
      </w:r>
      <w:r w:rsidR="006102DD" w:rsidRPr="00671C89">
        <w:rPr>
          <w:rFonts w:ascii="Times New Roman" w:eastAsia="仿宋_GB2312" w:hAnsi="Times New Roman" w:cs="Times New Roman"/>
          <w:sz w:val="32"/>
          <w:szCs w:val="32"/>
        </w:rPr>
        <w:t>评选出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名校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所、名师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名、名长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630D4" w:rsidRPr="00671C89">
        <w:rPr>
          <w:rFonts w:ascii="Times New Roman" w:eastAsia="仿宋_GB2312" w:hAnsi="Times New Roman" w:cs="Times New Roman"/>
          <w:sz w:val="32"/>
          <w:szCs w:val="32"/>
        </w:rPr>
        <w:t>名，由区委、区政府对名校名师名长给予认定命名。</w:t>
      </w:r>
    </w:p>
    <w:p w:rsidR="00E3390D" w:rsidRPr="00671C89" w:rsidRDefault="006102DD" w:rsidP="00A44943">
      <w:pPr>
        <w:spacing w:line="560" w:lineRule="exact"/>
        <w:ind w:firstLine="594"/>
        <w:rPr>
          <w:rFonts w:ascii="Times New Roman" w:eastAsia="仿宋_GB2312" w:hAnsi="Times New Roman" w:cs="Times New Roman"/>
          <w:sz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对于</w:t>
      </w:r>
      <w:r w:rsidR="00D5555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所区级名校，按照政策待遇，呈贡区给予了相应的补助资金。为科学有效地使用该项资金，呈贡区人民政府印发了《昆明市呈贡区名校（园）补助资金、校长基金使用管理规定（暂行）》，对资金的使用范围和管理要求作了明确规定。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所名校</w:t>
      </w:r>
      <w:r w:rsidR="009063B8" w:rsidRPr="00671C89">
        <w:rPr>
          <w:rFonts w:ascii="Times New Roman" w:eastAsia="仿宋_GB2312" w:hAnsi="Times New Roman" w:cs="Times New Roman"/>
          <w:sz w:val="32"/>
          <w:szCs w:val="32"/>
        </w:rPr>
        <w:t>结合自身办学实际，</w:t>
      </w:r>
      <w:r w:rsidR="00A434BF" w:rsidRPr="00671C89">
        <w:rPr>
          <w:rFonts w:ascii="Times New Roman" w:eastAsia="仿宋_GB2312" w:hAnsi="Times New Roman" w:cs="Times New Roman"/>
          <w:sz w:val="32"/>
          <w:szCs w:val="32"/>
        </w:rPr>
        <w:t>对资金使用进行规划，并向区教育</w:t>
      </w:r>
      <w:r w:rsidR="00046711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="00A434BF" w:rsidRPr="00671C89">
        <w:rPr>
          <w:rFonts w:ascii="Times New Roman" w:eastAsia="仿宋_GB2312" w:hAnsi="Times New Roman" w:cs="Times New Roman"/>
          <w:sz w:val="32"/>
          <w:szCs w:val="32"/>
        </w:rPr>
        <w:t>局递交申报书，就各学校的使用计划区教育</w:t>
      </w:r>
      <w:r w:rsidR="00046711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="00A434BF" w:rsidRPr="00671C89">
        <w:rPr>
          <w:rFonts w:ascii="Times New Roman" w:eastAsia="仿宋_GB2312" w:hAnsi="Times New Roman" w:cs="Times New Roman"/>
          <w:sz w:val="32"/>
          <w:szCs w:val="32"/>
        </w:rPr>
        <w:t>局</w:t>
      </w:r>
      <w:r w:rsidR="005D688D" w:rsidRPr="00671C89">
        <w:rPr>
          <w:rFonts w:ascii="Times New Roman" w:eastAsia="仿宋_GB2312" w:hAnsi="Times New Roman" w:cs="Times New Roman"/>
          <w:sz w:val="32"/>
          <w:szCs w:val="32"/>
        </w:rPr>
        <w:t>向区财政局、区审计局、区纪委等部门征求意见，各部门审核后</w:t>
      </w:r>
      <w:r w:rsidR="005D688D" w:rsidRPr="00671C89">
        <w:rPr>
          <w:rFonts w:ascii="Times New Roman" w:eastAsia="仿宋_GB2312" w:cs="Times New Roman"/>
          <w:sz w:val="32"/>
        </w:rPr>
        <w:t>提出指导意见，以便学校制定资金使用方案，保证资金使用规范。</w:t>
      </w:r>
    </w:p>
    <w:p w:rsidR="00FF47F0" w:rsidRDefault="00FF47F0" w:rsidP="007A310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对于评选认定的名师名长，</w:t>
      </w:r>
      <w:r w:rsidR="00067571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《昆明市呈贡区实施名校名师名长工程的实施方案的通知》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(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呈发（〔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〕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13</w:t>
      </w:r>
      <w:r w:rsidR="00067571" w:rsidRPr="00671C89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067571">
        <w:rPr>
          <w:rFonts w:ascii="Times New Roman" w:eastAsia="仿宋_GB2312" w:hAnsi="Times New Roman" w:cs="Times New Roman" w:hint="eastAsia"/>
          <w:sz w:val="32"/>
          <w:szCs w:val="32"/>
        </w:rPr>
        <w:t>文件精神</w:t>
      </w:r>
      <w:r w:rsidR="006405E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D3E9E">
        <w:rPr>
          <w:rFonts w:ascii="Times New Roman" w:eastAsia="仿宋_GB2312" w:hAnsi="Times New Roman" w:cs="Times New Roman" w:hint="eastAsia"/>
          <w:sz w:val="32"/>
          <w:szCs w:val="32"/>
        </w:rPr>
        <w:t>在职在编名师名长给予年度工作目标管理绩效考</w:t>
      </w:r>
      <w:r w:rsidR="00BD3E9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核奖。</w:t>
      </w:r>
    </w:p>
    <w:p w:rsidR="00206E13" w:rsidRPr="00671C89" w:rsidRDefault="00206E13" w:rsidP="00206E13">
      <w:pPr>
        <w:widowControl/>
        <w:spacing w:line="560" w:lineRule="exact"/>
        <w:ind w:firstLine="629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上述经费在收支预算执行过程中，我们严格按照相关程序办理，</w:t>
      </w:r>
      <w:r w:rsidR="004D31F4" w:rsidRPr="00671C89">
        <w:rPr>
          <w:rFonts w:ascii="Times New Roman" w:eastAsia="仿宋_GB2312" w:hAnsi="Times New Roman" w:cs="Times New Roman"/>
          <w:sz w:val="32"/>
          <w:szCs w:val="32"/>
        </w:rPr>
        <w:t>支出依据合</w:t>
      </w:r>
      <w:proofErr w:type="gramStart"/>
      <w:r w:rsidR="004D31F4" w:rsidRPr="00671C89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4D31F4" w:rsidRPr="00671C8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同时加强对项目资金的管理，严格按项目计划和规定用途确保专款专用，充分发挥财政资金的使用效益。此专项经费使用不拖欠、</w:t>
      </w:r>
      <w:proofErr w:type="gramStart"/>
      <w:r w:rsidRPr="00671C89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671C89">
        <w:rPr>
          <w:rFonts w:ascii="Times New Roman" w:eastAsia="仿宋_GB2312" w:hAnsi="Times New Roman" w:cs="Times New Roman"/>
          <w:sz w:val="32"/>
          <w:szCs w:val="32"/>
        </w:rPr>
        <w:t>截留，支出规范、合理，无虚列、虚报冒领和挤占挪用的现象。</w:t>
      </w:r>
    </w:p>
    <w:p w:rsidR="00A44943" w:rsidRPr="00671C89" w:rsidRDefault="00A44943" w:rsidP="00A4494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四、绩效评价指标分析情况</w:t>
      </w:r>
    </w:p>
    <w:p w:rsidR="00BF5D99" w:rsidRPr="00671C89" w:rsidRDefault="00B367C7" w:rsidP="00BF5D9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F5D99" w:rsidRPr="00671C89">
        <w:rPr>
          <w:rFonts w:ascii="Times New Roman" w:eastAsia="仿宋_GB2312" w:hAnsi="Times New Roman" w:cs="Times New Roman"/>
          <w:sz w:val="32"/>
          <w:szCs w:val="32"/>
        </w:rPr>
        <w:t>1</w:t>
      </w:r>
      <w:r w:rsidR="00BF5D99" w:rsidRPr="00671C89">
        <w:rPr>
          <w:rFonts w:ascii="Times New Roman" w:eastAsia="仿宋_GB2312" w:hAnsi="Times New Roman" w:cs="Times New Roman"/>
          <w:sz w:val="32"/>
          <w:szCs w:val="32"/>
        </w:rPr>
        <w:t>、项目经济性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和效率性</w:t>
      </w:r>
      <w:r w:rsidR="00BF5D99" w:rsidRPr="00671C89">
        <w:rPr>
          <w:rFonts w:ascii="Times New Roman" w:eastAsia="仿宋_GB2312" w:hAnsi="Times New Roman" w:cs="Times New Roman"/>
          <w:sz w:val="32"/>
          <w:szCs w:val="32"/>
        </w:rPr>
        <w:t>分析</w:t>
      </w:r>
    </w:p>
    <w:p w:rsidR="00BF5D99" w:rsidRPr="00671C89" w:rsidRDefault="00BF5D99" w:rsidP="000D48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呈贡区教育</w:t>
      </w:r>
      <w:r w:rsidR="00046711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局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严格按照文件精神、规范程序核拨三名工程经费，各项经费严格按照使用范围和用途使用，并制定相关管理办法，加强资金的管理。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项目资金的拨付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、使用、所实施的各项内容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均按计划进行，成本控制在预算内。各学校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取得经费后进行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分账核算，按照适用范围列支。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20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年度该项目资金严格按照项目管理制度规定执行，各学校资金使用合</w:t>
      </w:r>
      <w:proofErr w:type="gramStart"/>
      <w:r w:rsidRPr="00671C89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671C89">
        <w:rPr>
          <w:rFonts w:ascii="Times New Roman" w:eastAsia="仿宋_GB2312" w:hAnsi="Times New Roman" w:cs="Times New Roman"/>
          <w:sz w:val="32"/>
          <w:szCs w:val="32"/>
        </w:rPr>
        <w:t>、合法，项目完成质量较好。</w:t>
      </w:r>
    </w:p>
    <w:p w:rsidR="00BF5D99" w:rsidRPr="00671C89" w:rsidRDefault="000D4867" w:rsidP="001707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2</w:t>
      </w:r>
      <w:r w:rsidR="00BF5D99" w:rsidRPr="00671C89">
        <w:rPr>
          <w:rFonts w:ascii="Times New Roman" w:eastAsia="仿宋_GB2312" w:hAnsi="Times New Roman" w:cs="Times New Roman"/>
          <w:sz w:val="32"/>
          <w:szCs w:val="32"/>
        </w:rPr>
        <w:t>、项目的效益性分析</w:t>
      </w:r>
    </w:p>
    <w:p w:rsidR="000D4867" w:rsidRPr="00671C89" w:rsidRDefault="002F48C9" w:rsidP="002F48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170734" w:rsidRPr="00671C89">
        <w:rPr>
          <w:rFonts w:ascii="Times New Roman" w:eastAsia="仿宋_GB2312" w:hAnsi="Times New Roman" w:cs="Times New Roman"/>
          <w:sz w:val="32"/>
          <w:szCs w:val="32"/>
        </w:rPr>
        <w:t>三名工程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构建起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培养名师、培育名长、创建名校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的长效机制，</w:t>
      </w:r>
      <w:r w:rsidR="00170734" w:rsidRPr="00671C89">
        <w:rPr>
          <w:rFonts w:ascii="Times New Roman" w:eastAsia="仿宋_GB2312" w:hAnsi="Times New Roman" w:cs="Times New Roman"/>
          <w:sz w:val="32"/>
          <w:szCs w:val="32"/>
        </w:rPr>
        <w:t>有利于学校品牌创建，办学特色形成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，有利于引领辐射区域</w:t>
      </w:r>
      <w:proofErr w:type="gramStart"/>
      <w:r w:rsidRPr="00671C89">
        <w:rPr>
          <w:rFonts w:ascii="Times New Roman" w:eastAsia="仿宋_GB2312" w:hAnsi="Times New Roman" w:cs="Times New Roman"/>
          <w:sz w:val="32"/>
          <w:szCs w:val="32"/>
        </w:rPr>
        <w:t>内教师</w:t>
      </w:r>
      <w:proofErr w:type="gramEnd"/>
      <w:r w:rsidRPr="00671C89">
        <w:rPr>
          <w:rFonts w:ascii="Times New Roman" w:eastAsia="仿宋_GB2312" w:hAnsi="Times New Roman" w:cs="Times New Roman"/>
          <w:sz w:val="32"/>
          <w:szCs w:val="32"/>
        </w:rPr>
        <w:t>成长，实现师资队伍全面优化，教学水平显著提升。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力求成就一批家长认可度高的名师、名长，创建一批社会美誉度高的名校，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推动区域教育优质均衡发展，不断形成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优质教育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生态圈，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让教育改革的红利更多更好地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惠及百姓，不断满足人民群众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对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>美好教育需求。</w:t>
      </w:r>
      <w:r w:rsidR="000D4867" w:rsidRPr="00671C8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A44943" w:rsidRPr="00671C89" w:rsidRDefault="00A44943" w:rsidP="002A1EC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五、综合评价情况及评价结论</w:t>
      </w:r>
    </w:p>
    <w:p w:rsidR="00A44943" w:rsidRPr="00671C89" w:rsidRDefault="00A44943" w:rsidP="00A44943">
      <w:pPr>
        <w:spacing w:line="560" w:lineRule="exact"/>
        <w:ind w:firstLine="599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lastRenderedPageBreak/>
        <w:t>按照项目绩效评价指标体系严格打分，此项目评分为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9</w:t>
      </w:r>
      <w:r w:rsidR="00E313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分，评价等级为优。</w:t>
      </w:r>
    </w:p>
    <w:p w:rsidR="00A44943" w:rsidRPr="00671C89" w:rsidRDefault="00A44943" w:rsidP="002A1EC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六、绩效评价结果应用建议</w:t>
      </w:r>
    </w:p>
    <w:p w:rsidR="00A44943" w:rsidRPr="00671C89" w:rsidRDefault="00A44943" w:rsidP="00A44943">
      <w:pPr>
        <w:spacing w:line="560" w:lineRule="exact"/>
        <w:ind w:firstLine="599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该项目资金年初预算批复下达时，已按相关规定在网上进行了预算公开，接受社会监督。</w:t>
      </w:r>
    </w:p>
    <w:p w:rsidR="00A44943" w:rsidRPr="00671C89" w:rsidRDefault="00A44943" w:rsidP="002A1EC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七、主要经验及做法、存在的问题和建议</w:t>
      </w:r>
    </w:p>
    <w:p w:rsidR="002F48C9" w:rsidRPr="00671C89" w:rsidRDefault="00774CEC" w:rsidP="002F48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三名工程作为教育改革的一项重要任务，涉及的资金数额大、范围面广，</w:t>
      </w:r>
      <w:r w:rsidR="00097CEF" w:rsidRPr="00671C89">
        <w:rPr>
          <w:rFonts w:ascii="Times New Roman" w:eastAsia="仿宋_GB2312" w:hAnsi="Times New Roman" w:cs="Times New Roman"/>
          <w:sz w:val="32"/>
          <w:szCs w:val="32"/>
        </w:rPr>
        <w:t>切实关乎民生，如何使用</w:t>
      </w:r>
      <w:proofErr w:type="gramStart"/>
      <w:r w:rsidR="00097CEF" w:rsidRPr="00671C89">
        <w:rPr>
          <w:rFonts w:ascii="Times New Roman" w:eastAsia="仿宋_GB2312" w:hAnsi="Times New Roman" w:cs="Times New Roman"/>
          <w:sz w:val="32"/>
          <w:szCs w:val="32"/>
        </w:rPr>
        <w:t>好</w:t>
      </w:r>
      <w:proofErr w:type="gramEnd"/>
      <w:r w:rsidR="00097CEF" w:rsidRPr="00671C89">
        <w:rPr>
          <w:rFonts w:ascii="Times New Roman" w:eastAsia="仿宋_GB2312" w:hAnsi="Times New Roman" w:cs="Times New Roman"/>
          <w:sz w:val="32"/>
          <w:szCs w:val="32"/>
        </w:rPr>
        <w:t>和监管好资金发挥财政资金的最大效益尤为重要。</w:t>
      </w:r>
      <w:r w:rsidR="005D5324" w:rsidRPr="00671C89">
        <w:rPr>
          <w:rFonts w:ascii="Times New Roman" w:eastAsia="仿宋_GB2312" w:hAnsi="Times New Roman" w:cs="Times New Roman"/>
          <w:sz w:val="32"/>
          <w:szCs w:val="32"/>
        </w:rPr>
        <w:t>做好科学、民主决策，建立行之有效的资金管理制度是下一步工作的主要方向。</w:t>
      </w:r>
      <w:r w:rsidR="005D5324" w:rsidRPr="00671C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44943" w:rsidRPr="00671C89" w:rsidRDefault="00A44943" w:rsidP="002A1EC3">
      <w:pPr>
        <w:spacing w:line="56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671C89">
        <w:rPr>
          <w:rFonts w:ascii="Times New Roman" w:eastAsia="仿宋_GB2312" w:hAnsi="仿宋_GB2312" w:cs="Times New Roman"/>
          <w:b/>
          <w:sz w:val="32"/>
          <w:szCs w:val="32"/>
        </w:rPr>
        <w:t>八、其他需要说明的问题</w:t>
      </w:r>
    </w:p>
    <w:p w:rsidR="00A44943" w:rsidRPr="00671C89" w:rsidRDefault="00A44943" w:rsidP="002F48C9">
      <w:pPr>
        <w:spacing w:line="560" w:lineRule="exact"/>
        <w:ind w:firstLine="582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>查找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三名工程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项目实施存在问题，并提出相应的对策建议，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更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加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充分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地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发挥三名工程作用。结合新区教育发展实际，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认真开展调查需求调研，让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三名工程实施得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更具针对性、实效性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。下一步工作中，要更好地做好经费的预算，最大</w:t>
      </w:r>
      <w:r w:rsidR="002A1EC3" w:rsidRPr="00671C89">
        <w:rPr>
          <w:rFonts w:ascii="Times New Roman" w:eastAsia="仿宋_GB2312" w:hAnsi="Times New Roman" w:cs="Times New Roman"/>
          <w:sz w:val="32"/>
          <w:szCs w:val="32"/>
        </w:rPr>
        <w:t>限度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地发挥财政资金的作用。</w:t>
      </w:r>
    </w:p>
    <w:p w:rsidR="00A44943" w:rsidRPr="00671C89" w:rsidRDefault="00A44943" w:rsidP="00A44943">
      <w:pPr>
        <w:spacing w:line="560" w:lineRule="exact"/>
        <w:jc w:val="right"/>
        <w:rPr>
          <w:rFonts w:ascii="Times New Roman" w:hAnsi="Times New Roman" w:cs="Times New Roman"/>
          <w:kern w:val="1"/>
          <w:szCs w:val="32"/>
        </w:rPr>
      </w:pPr>
    </w:p>
    <w:p w:rsidR="00A44943" w:rsidRPr="00671C89" w:rsidRDefault="00A44943" w:rsidP="00A44943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hAnsi="Times New Roman" w:cs="Times New Roman"/>
          <w:kern w:val="1"/>
          <w:szCs w:val="32"/>
        </w:rPr>
        <w:t xml:space="preserve">                              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昆明市呈贡区教育</w:t>
      </w:r>
      <w:r w:rsidR="002F48C9" w:rsidRPr="00671C89">
        <w:rPr>
          <w:rFonts w:ascii="Times New Roman" w:eastAsia="仿宋_GB2312" w:hAnsi="Times New Roman" w:cs="Times New Roman"/>
          <w:sz w:val="32"/>
          <w:szCs w:val="32"/>
        </w:rPr>
        <w:t>体育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A44943" w:rsidRPr="00671C89" w:rsidRDefault="00A44943" w:rsidP="00A44943">
      <w:pPr>
        <w:spacing w:line="560" w:lineRule="exact"/>
        <w:ind w:right="592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71C89">
        <w:rPr>
          <w:rFonts w:ascii="Times New Roman" w:eastAsia="仿宋_GB2312" w:hAnsi="Times New Roman" w:cs="Times New Roman"/>
          <w:sz w:val="32"/>
          <w:szCs w:val="32"/>
        </w:rPr>
        <w:t xml:space="preserve">  20</w:t>
      </w:r>
      <w:r w:rsidR="00E7686D" w:rsidRPr="00671C89">
        <w:rPr>
          <w:rFonts w:ascii="Times New Roman" w:eastAsia="仿宋_GB2312" w:hAnsi="Times New Roman" w:cs="Times New Roman"/>
          <w:sz w:val="32"/>
          <w:szCs w:val="32"/>
        </w:rPr>
        <w:t>2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年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月</w:t>
      </w:r>
      <w:r w:rsidR="00D870AD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671C8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6361C" w:rsidRPr="00671C89" w:rsidRDefault="0076361C" w:rsidP="002B1C06">
      <w:pPr>
        <w:spacing w:line="560" w:lineRule="exact"/>
        <w:ind w:left="675"/>
        <w:jc w:val="left"/>
        <w:rPr>
          <w:rFonts w:ascii="Times New Roman" w:hAnsi="Times New Roman" w:cs="Times New Roman"/>
          <w:szCs w:val="32"/>
        </w:rPr>
      </w:pPr>
    </w:p>
    <w:sectPr w:rsidR="0076361C" w:rsidRPr="00671C89" w:rsidSect="00F40C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E3" w:rsidRDefault="004D39E3" w:rsidP="00071A50">
      <w:r>
        <w:separator/>
      </w:r>
    </w:p>
  </w:endnote>
  <w:endnote w:type="continuationSeparator" w:id="0">
    <w:p w:rsidR="004D39E3" w:rsidRDefault="004D39E3" w:rsidP="0007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701"/>
      <w:docPartObj>
        <w:docPartGallery w:val="Page Numbers (Bottom of Page)"/>
        <w:docPartUnique/>
      </w:docPartObj>
    </w:sdtPr>
    <w:sdtContent>
      <w:p w:rsidR="00071A50" w:rsidRDefault="00712543">
        <w:pPr>
          <w:pStyle w:val="a5"/>
          <w:jc w:val="center"/>
        </w:pPr>
        <w:fldSimple w:instr=" PAGE   \* MERGEFORMAT ">
          <w:r w:rsidR="00E313A5" w:rsidRPr="00E313A5">
            <w:rPr>
              <w:noProof/>
              <w:lang w:val="zh-CN"/>
            </w:rPr>
            <w:t>5</w:t>
          </w:r>
        </w:fldSimple>
      </w:p>
    </w:sdtContent>
  </w:sdt>
  <w:p w:rsidR="00071A50" w:rsidRDefault="00071A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E3" w:rsidRDefault="004D39E3" w:rsidP="00071A50">
      <w:r>
        <w:separator/>
      </w:r>
    </w:p>
  </w:footnote>
  <w:footnote w:type="continuationSeparator" w:id="0">
    <w:p w:rsidR="004D39E3" w:rsidRDefault="004D39E3" w:rsidP="00071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885"/>
    <w:multiLevelType w:val="hybridMultilevel"/>
    <w:tmpl w:val="20667524"/>
    <w:lvl w:ilvl="0" w:tplc="88D86534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5EF5994"/>
    <w:multiLevelType w:val="multilevel"/>
    <w:tmpl w:val="65EF5994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D950A27"/>
    <w:multiLevelType w:val="hybridMultilevel"/>
    <w:tmpl w:val="985EED5A"/>
    <w:lvl w:ilvl="0" w:tplc="5F246964">
      <w:start w:val="1"/>
      <w:numFmt w:val="japaneseCounting"/>
      <w:lvlText w:val="（%1）"/>
      <w:lvlJc w:val="left"/>
      <w:pPr>
        <w:ind w:left="1665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524"/>
    <w:rsid w:val="000005C2"/>
    <w:rsid w:val="000429B0"/>
    <w:rsid w:val="00046711"/>
    <w:rsid w:val="00065CDB"/>
    <w:rsid w:val="00067271"/>
    <w:rsid w:val="00067571"/>
    <w:rsid w:val="000704FA"/>
    <w:rsid w:val="00071A50"/>
    <w:rsid w:val="00097CEF"/>
    <w:rsid w:val="000C5B3F"/>
    <w:rsid w:val="000D4867"/>
    <w:rsid w:val="00163AF1"/>
    <w:rsid w:val="00170734"/>
    <w:rsid w:val="00191920"/>
    <w:rsid w:val="001C08EE"/>
    <w:rsid w:val="001C72E9"/>
    <w:rsid w:val="001D6E8F"/>
    <w:rsid w:val="00206E13"/>
    <w:rsid w:val="0029110E"/>
    <w:rsid w:val="002A1EC3"/>
    <w:rsid w:val="002B1C06"/>
    <w:rsid w:val="002D2CC3"/>
    <w:rsid w:val="002F48C9"/>
    <w:rsid w:val="003147B6"/>
    <w:rsid w:val="003630D4"/>
    <w:rsid w:val="003C360B"/>
    <w:rsid w:val="004216E9"/>
    <w:rsid w:val="00432943"/>
    <w:rsid w:val="00440BA5"/>
    <w:rsid w:val="00466FC5"/>
    <w:rsid w:val="004754D3"/>
    <w:rsid w:val="00496F18"/>
    <w:rsid w:val="004A5541"/>
    <w:rsid w:val="004A73C2"/>
    <w:rsid w:val="004A7ACB"/>
    <w:rsid w:val="004C28E7"/>
    <w:rsid w:val="004D31F4"/>
    <w:rsid w:val="004D39E3"/>
    <w:rsid w:val="004D5B65"/>
    <w:rsid w:val="004F6215"/>
    <w:rsid w:val="005816C8"/>
    <w:rsid w:val="005A4517"/>
    <w:rsid w:val="005B3B59"/>
    <w:rsid w:val="005D5324"/>
    <w:rsid w:val="005D688D"/>
    <w:rsid w:val="006102DD"/>
    <w:rsid w:val="00610838"/>
    <w:rsid w:val="006140C7"/>
    <w:rsid w:val="006405ED"/>
    <w:rsid w:val="00644039"/>
    <w:rsid w:val="00671C89"/>
    <w:rsid w:val="006B419E"/>
    <w:rsid w:val="006D4FBB"/>
    <w:rsid w:val="00712543"/>
    <w:rsid w:val="00720BFC"/>
    <w:rsid w:val="0076361C"/>
    <w:rsid w:val="00774CEC"/>
    <w:rsid w:val="00791E75"/>
    <w:rsid w:val="007935CE"/>
    <w:rsid w:val="007A310D"/>
    <w:rsid w:val="007E249E"/>
    <w:rsid w:val="0083171F"/>
    <w:rsid w:val="0084296F"/>
    <w:rsid w:val="008B1214"/>
    <w:rsid w:val="009063B8"/>
    <w:rsid w:val="009B77AD"/>
    <w:rsid w:val="009F37F5"/>
    <w:rsid w:val="00A140A4"/>
    <w:rsid w:val="00A24524"/>
    <w:rsid w:val="00A353E6"/>
    <w:rsid w:val="00A434BF"/>
    <w:rsid w:val="00A44943"/>
    <w:rsid w:val="00A512FA"/>
    <w:rsid w:val="00A534F5"/>
    <w:rsid w:val="00A9061D"/>
    <w:rsid w:val="00A94677"/>
    <w:rsid w:val="00AD493C"/>
    <w:rsid w:val="00B367C7"/>
    <w:rsid w:val="00B36C20"/>
    <w:rsid w:val="00B56EC1"/>
    <w:rsid w:val="00B649C3"/>
    <w:rsid w:val="00B950EB"/>
    <w:rsid w:val="00BB5089"/>
    <w:rsid w:val="00BD3E9E"/>
    <w:rsid w:val="00BF5D99"/>
    <w:rsid w:val="00C6527D"/>
    <w:rsid w:val="00C874B7"/>
    <w:rsid w:val="00CA2BF1"/>
    <w:rsid w:val="00CA53A6"/>
    <w:rsid w:val="00CB567C"/>
    <w:rsid w:val="00D2048B"/>
    <w:rsid w:val="00D3750D"/>
    <w:rsid w:val="00D55559"/>
    <w:rsid w:val="00D870AD"/>
    <w:rsid w:val="00D96EEF"/>
    <w:rsid w:val="00D96F4D"/>
    <w:rsid w:val="00DE226D"/>
    <w:rsid w:val="00E07DE9"/>
    <w:rsid w:val="00E22A2A"/>
    <w:rsid w:val="00E313A5"/>
    <w:rsid w:val="00E3390D"/>
    <w:rsid w:val="00E53BE6"/>
    <w:rsid w:val="00E63A6C"/>
    <w:rsid w:val="00E7686D"/>
    <w:rsid w:val="00EB57D9"/>
    <w:rsid w:val="00EE51C0"/>
    <w:rsid w:val="00EF51FD"/>
    <w:rsid w:val="00F3595A"/>
    <w:rsid w:val="00F40CEB"/>
    <w:rsid w:val="00F40FF0"/>
    <w:rsid w:val="00F961B1"/>
    <w:rsid w:val="00FA11BB"/>
    <w:rsid w:val="00FA1643"/>
    <w:rsid w:val="00FA2883"/>
    <w:rsid w:val="00FC1459"/>
    <w:rsid w:val="00FD1736"/>
    <w:rsid w:val="00FD4607"/>
    <w:rsid w:val="00FE6C9A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CB567C"/>
    <w:pPr>
      <w:ind w:firstLineChars="200" w:firstLine="420"/>
    </w:pPr>
    <w:rPr>
      <w:rFonts w:eastAsia="仿宋_GB2312"/>
      <w:sz w:val="32"/>
    </w:rPr>
  </w:style>
  <w:style w:type="paragraph" w:styleId="a3">
    <w:name w:val="List Paragraph"/>
    <w:basedOn w:val="a"/>
    <w:uiPriority w:val="34"/>
    <w:qFormat/>
    <w:rsid w:val="00CB567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A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1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FB37-2572-4534-9620-530D23B5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266</cp:revision>
  <cp:lastPrinted>2021-03-25T01:52:00Z</cp:lastPrinted>
  <dcterms:created xsi:type="dcterms:W3CDTF">2019-03-18T05:34:00Z</dcterms:created>
  <dcterms:modified xsi:type="dcterms:W3CDTF">2021-03-30T05:37:00Z</dcterms:modified>
</cp:coreProperties>
</file>