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交通行政许可决定书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编号：呈交运许（2020）00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昆明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鑫业机动车安全检测有限公司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2020年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昆峨公路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K17+200米左侧设置非公路标志许可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经审查，你（单位）于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所提交的申请材料齐全，符合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《中华人民共和国公路法》第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五十四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、《公路安全保护条例》第二十七条第五项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规定的条件、标准，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在公路用地范围内设置公路标志以外的其他标志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。根据《行政许可法》第三十四条第一款、第三十八条第一款的规定，决定准予交通行政许可，准予你（单位）依法从事下列活动：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在昆明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鑫业机动车安全检测有限公司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申请在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昆峨公路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K17+200米左侧设置非公路标志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本机关将在作出本决定之日起3日内向你（单位）颁发、送达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昆明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鑫业机动车安全检测有限公司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申请在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昆峨公路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K17+200米左侧设置非公路标志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的行政许可证件。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4115" w:hanging="2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（印章）</w:t>
      </w:r>
    </w:p>
    <w:p>
      <w:pPr>
        <w:ind w:firstLine="645"/>
        <w:rPr>
          <w:rFonts w:hint="eastAsia" w:ascii="方正小标宋简体" w:eastAsia="方正小标宋简体"/>
          <w:sz w:val="44"/>
          <w:szCs w:val="44"/>
        </w:rPr>
      </w:pPr>
      <w:r>
        <w:rPr>
          <w:sz w:val="32"/>
        </w:rPr>
        <w:pict>
          <v:shape id="_x0000_s1026" o:spid="_x0000_s1026" o:spt="201" type="#_x0000_t201" style="position:absolute;left:0pt;margin-left:272.25pt;margin-top:-64.5pt;height:128pt;width:128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2" w:shapeid="_x0000_s1026"/>
        </w:pic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PlES3I+aI5G8Pu5b3RefZyHTWA0=" w:salt="pfd5TbmdhGxkxy034Lx01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31183"/>
    <w:rsid w:val="045032EA"/>
    <w:rsid w:val="17D31183"/>
    <w:rsid w:val="242E2F85"/>
    <w:rsid w:val="368E2053"/>
    <w:rsid w:val="46B14DA6"/>
    <w:rsid w:val="5F3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2021-05-27T02:08:00Z</dcterms:created>
  <dc:creator>Administrator</dc:creator>
  <cp:lastModifiedBy>Administrator</cp:lastModifiedBy>
  <dcterms:modified xsi:type="dcterms:W3CDTF">2021-05-27T02:14:09Z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docranid">
    <vt:lpwstr>E93E6FE394474C779B45C13F39F4FC72</vt:lpwstr>
  </property>
  <property fmtid="{D5CDD505-2E9C-101B-9397-08002B2CF9AE}" pid="4" name="ICV">
    <vt:lpwstr>5465E991564C4AB5A4C4923957D4CC44</vt:lpwstr>
  </property>
</Properties>
</file>