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rPr>
          <w:rFonts w:ascii="Times New Roman"/>
          <w:sz w:val="20"/>
        </w:rPr>
      </w:pPr>
    </w:p>
    <w:p>
      <w:pPr>
        <w:pStyle w:val="6"/>
        <w:jc w:val="center"/>
        <w:rPr>
          <w:rFonts w:ascii="Times New Roman"/>
          <w:sz w:val="20"/>
        </w:rPr>
      </w:pPr>
    </w:p>
    <w:p>
      <w:pPr>
        <w:pStyle w:val="6"/>
        <w:jc w:val="center"/>
        <w:rPr>
          <w:rFonts w:ascii="Times New Roman"/>
          <w:sz w:val="20"/>
        </w:rPr>
      </w:pPr>
    </w:p>
    <w:p>
      <w:pPr>
        <w:spacing w:before="28" w:line="460" w:lineRule="auto"/>
        <w:ind w:left="1573" w:right="1571"/>
        <w:jc w:val="center"/>
        <w:rPr>
          <w:rFonts w:hint="eastAsia" w:ascii="宋体" w:eastAsia="宋体"/>
          <w:b/>
          <w:sz w:val="52"/>
          <w:lang w:val="en-US"/>
        </w:rPr>
      </w:pPr>
      <w:r>
        <w:rPr>
          <w:rFonts w:hint="eastAsia" w:ascii="宋体" w:eastAsia="宋体"/>
          <w:b/>
          <w:sz w:val="52"/>
          <w:lang w:val="en-US" w:eastAsia="zh-CN"/>
        </w:rPr>
        <w:t>呈贡区主次干道</w:t>
      </w:r>
      <w:r>
        <w:rPr>
          <w:rFonts w:hint="eastAsia" w:ascii="宋体" w:eastAsia="宋体"/>
          <w:b/>
          <w:sz w:val="52"/>
          <w:lang w:val="en-US"/>
        </w:rPr>
        <w:t>灯杆道旗安装购买服务公告</w:t>
      </w:r>
    </w:p>
    <w:p>
      <w:pPr>
        <w:spacing w:before="28" w:line="460" w:lineRule="auto"/>
        <w:ind w:left="1573" w:right="1571"/>
        <w:jc w:val="center"/>
        <w:rPr>
          <w:rFonts w:hint="eastAsia" w:ascii="宋体" w:eastAsia="宋体"/>
          <w:b/>
          <w:sz w:val="52"/>
          <w:lang w:eastAsia="zh-CN"/>
        </w:rPr>
      </w:pPr>
      <w:r>
        <w:rPr>
          <w:rFonts w:hint="eastAsia" w:ascii="宋体" w:eastAsia="宋体"/>
          <w:b/>
          <w:sz w:val="52"/>
        </w:rPr>
        <w:t>询价函</w:t>
      </w:r>
    </w:p>
    <w:p>
      <w:pPr>
        <w:pStyle w:val="6"/>
        <w:jc w:val="center"/>
        <w:rPr>
          <w:rFonts w:ascii="宋体"/>
          <w:b/>
          <w:sz w:val="20"/>
        </w:rPr>
      </w:pPr>
    </w:p>
    <w:p>
      <w:pPr>
        <w:pStyle w:val="6"/>
        <w:jc w:val="center"/>
        <w:rPr>
          <w:rFonts w:ascii="宋体"/>
          <w:b/>
          <w:sz w:val="20"/>
        </w:rPr>
      </w:pPr>
    </w:p>
    <w:p>
      <w:pPr>
        <w:pStyle w:val="6"/>
        <w:jc w:val="center"/>
        <w:rPr>
          <w:rFonts w:ascii="宋体"/>
          <w:b/>
          <w:sz w:val="20"/>
        </w:rPr>
      </w:pPr>
    </w:p>
    <w:p>
      <w:pPr>
        <w:pStyle w:val="6"/>
        <w:jc w:val="center"/>
        <w:rPr>
          <w:rFonts w:ascii="宋体"/>
          <w:b/>
          <w:sz w:val="20"/>
        </w:rPr>
      </w:pPr>
    </w:p>
    <w:p>
      <w:pPr>
        <w:pStyle w:val="6"/>
        <w:jc w:val="center"/>
        <w:rPr>
          <w:rFonts w:ascii="宋体"/>
          <w:b/>
          <w:sz w:val="20"/>
        </w:rPr>
      </w:pPr>
    </w:p>
    <w:p>
      <w:pPr>
        <w:pStyle w:val="6"/>
        <w:jc w:val="center"/>
        <w:rPr>
          <w:rFonts w:ascii="宋体"/>
          <w:b/>
          <w:sz w:val="20"/>
        </w:rPr>
      </w:pPr>
    </w:p>
    <w:p>
      <w:pPr>
        <w:pStyle w:val="6"/>
        <w:jc w:val="center"/>
        <w:rPr>
          <w:rFonts w:ascii="宋体"/>
          <w:b/>
          <w:sz w:val="20"/>
        </w:rPr>
      </w:pPr>
    </w:p>
    <w:p>
      <w:pPr>
        <w:pStyle w:val="6"/>
        <w:spacing w:before="6"/>
        <w:jc w:val="center"/>
        <w:rPr>
          <w:rFonts w:ascii="宋体"/>
          <w:b/>
          <w:sz w:val="13"/>
        </w:rPr>
      </w:pPr>
    </w:p>
    <w:p>
      <w:pPr>
        <w:pStyle w:val="6"/>
        <w:jc w:val="center"/>
        <w:rPr>
          <w:rFonts w:ascii="宋体"/>
          <w:b/>
          <w:sz w:val="52"/>
        </w:rPr>
      </w:pPr>
    </w:p>
    <w:p>
      <w:pPr>
        <w:pStyle w:val="6"/>
        <w:spacing w:before="6"/>
        <w:jc w:val="center"/>
        <w:rPr>
          <w:rFonts w:ascii="宋体"/>
          <w:b/>
          <w:sz w:val="67"/>
          <w:lang w:val="en-US"/>
        </w:rPr>
      </w:pPr>
    </w:p>
    <w:p>
      <w:pPr>
        <w:spacing w:line="364" w:lineRule="auto"/>
        <w:ind w:right="3426"/>
        <w:jc w:val="center"/>
        <w:rPr>
          <w:rFonts w:hint="eastAsia" w:ascii="宋体" w:eastAsia="宋体"/>
          <w:b/>
          <w:sz w:val="32"/>
          <w:lang w:val="en-US" w:eastAsia="zh-CN"/>
        </w:rPr>
      </w:pPr>
      <w:r>
        <w:rPr>
          <w:rFonts w:hint="eastAsia" w:ascii="宋体" w:eastAsia="宋体"/>
          <w:b/>
          <w:spacing w:val="-2"/>
          <w:sz w:val="32"/>
          <w:lang w:val="en-US" w:eastAsia="zh-CN"/>
        </w:rPr>
        <w:t xml:space="preserve">                 </w:t>
      </w:r>
      <w:r>
        <w:rPr>
          <w:rFonts w:hint="eastAsia" w:ascii="宋体" w:eastAsia="宋体"/>
          <w:b/>
          <w:spacing w:val="-2"/>
          <w:sz w:val="32"/>
          <w:lang w:eastAsia="zh-CN"/>
        </w:rPr>
        <w:t>中共昆明市呈贡区委宣传部</w:t>
      </w:r>
      <w:r>
        <w:rPr>
          <w:rFonts w:hint="eastAsia" w:ascii="宋体" w:eastAsia="宋体"/>
          <w:b/>
          <w:sz w:val="32"/>
        </w:rPr>
        <w:t xml:space="preserve">                   </w:t>
      </w:r>
      <w:r>
        <w:rPr>
          <w:rFonts w:hint="eastAsia" w:ascii="宋体" w:eastAsia="宋体"/>
          <w:b/>
          <w:sz w:val="32"/>
          <w:lang w:val="en-US" w:eastAsia="zh-CN"/>
        </w:rPr>
        <w:t xml:space="preserve">    </w:t>
      </w:r>
    </w:p>
    <w:p>
      <w:pPr>
        <w:spacing w:line="364" w:lineRule="auto"/>
        <w:ind w:right="3426"/>
        <w:jc w:val="center"/>
        <w:rPr>
          <w:rFonts w:ascii="宋体" w:eastAsia="宋体"/>
          <w:b/>
          <w:sz w:val="32"/>
        </w:rPr>
      </w:pPr>
      <w:r>
        <w:rPr>
          <w:rFonts w:hint="eastAsia" w:ascii="宋体" w:eastAsia="宋体"/>
          <w:b/>
          <w:sz w:val="32"/>
          <w:lang w:val="en-US" w:eastAsia="zh-CN"/>
        </w:rPr>
        <w:t xml:space="preserve">                 </w:t>
      </w:r>
      <w:r>
        <w:rPr>
          <w:rFonts w:hint="eastAsia" w:ascii="宋体" w:eastAsia="宋体"/>
          <w:b/>
          <w:sz w:val="32"/>
        </w:rPr>
        <w:t>2021</w:t>
      </w:r>
      <w:r>
        <w:rPr>
          <w:rFonts w:hint="eastAsia" w:ascii="宋体" w:eastAsia="宋体"/>
          <w:b/>
          <w:spacing w:val="-55"/>
          <w:sz w:val="32"/>
        </w:rPr>
        <w:t xml:space="preserve"> 年 </w:t>
      </w:r>
      <w:r>
        <w:rPr>
          <w:rFonts w:ascii="宋体" w:eastAsia="宋体"/>
          <w:b/>
          <w:spacing w:val="-55"/>
          <w:sz w:val="32"/>
        </w:rPr>
        <w:t xml:space="preserve"> </w:t>
      </w:r>
      <w:r>
        <w:rPr>
          <w:rFonts w:hint="eastAsia" w:ascii="宋体" w:eastAsia="宋体"/>
          <w:b/>
          <w:spacing w:val="-41"/>
          <w:sz w:val="32"/>
        </w:rPr>
        <w:t>5</w:t>
      </w:r>
      <w:r>
        <w:rPr>
          <w:rFonts w:ascii="宋体" w:eastAsia="宋体"/>
          <w:b/>
          <w:spacing w:val="-41"/>
          <w:sz w:val="32"/>
        </w:rPr>
        <w:t xml:space="preserve"> </w:t>
      </w:r>
      <w:r>
        <w:rPr>
          <w:rFonts w:hint="eastAsia" w:ascii="宋体" w:eastAsia="宋体"/>
          <w:b/>
          <w:spacing w:val="-41"/>
          <w:sz w:val="32"/>
        </w:rPr>
        <w:t>月</w:t>
      </w:r>
    </w:p>
    <w:p>
      <w:pPr>
        <w:spacing w:line="364" w:lineRule="auto"/>
        <w:jc w:val="center"/>
        <w:rPr>
          <w:rFonts w:ascii="宋体" w:eastAsia="宋体"/>
          <w:sz w:val="32"/>
        </w:rPr>
      </w:pPr>
    </w:p>
    <w:p>
      <w:pPr>
        <w:tabs>
          <w:tab w:val="left" w:pos="5612"/>
        </w:tabs>
        <w:jc w:val="left"/>
        <w:rPr>
          <w:rFonts w:hint="default" w:ascii="微软雅黑" w:hAnsi="微软雅黑" w:eastAsia="微软雅黑" w:cs="微软雅黑"/>
          <w:sz w:val="22"/>
          <w:szCs w:val="22"/>
          <w:lang w:val="en-US" w:eastAsia="zh-CN" w:bidi="zh-CN"/>
        </w:rPr>
        <w:sectPr>
          <w:headerReference r:id="rId3" w:type="default"/>
          <w:footerReference r:id="rId4" w:type="default"/>
          <w:type w:val="continuous"/>
          <w:pgSz w:w="11910" w:h="16840"/>
          <w:pgMar w:top="820" w:right="920" w:bottom="280" w:left="920" w:header="587" w:footer="720" w:gutter="0"/>
          <w:pgNumType w:fmt="decimal" w:start="1"/>
          <w:cols w:space="720" w:num="1"/>
        </w:sectPr>
      </w:pPr>
    </w:p>
    <w:p>
      <w:pPr>
        <w:tabs>
          <w:tab w:val="left" w:pos="880"/>
        </w:tabs>
        <w:spacing w:before="158"/>
        <w:jc w:val="center"/>
        <w:rPr>
          <w:b/>
          <w:sz w:val="44"/>
        </w:rPr>
      </w:pPr>
      <w:r>
        <w:rPr>
          <w:b/>
          <w:sz w:val="44"/>
        </w:rPr>
        <w:t>目</w:t>
      </w:r>
      <w:r>
        <w:rPr>
          <w:b/>
          <w:sz w:val="44"/>
        </w:rPr>
        <w:tab/>
      </w:r>
      <w:r>
        <w:rPr>
          <w:b/>
          <w:sz w:val="44"/>
        </w:rPr>
        <w:t>录</w:t>
      </w:r>
    </w:p>
    <w:p>
      <w:pPr>
        <w:pStyle w:val="10"/>
        <w:tabs>
          <w:tab w:val="right" w:leader="dot" w:pos="7749"/>
        </w:tabs>
        <w:spacing w:before="531"/>
      </w:pPr>
      <w:r>
        <w:fldChar w:fldCharType="begin"/>
      </w:r>
      <w:r>
        <w:instrText xml:space="preserve"> HYPERLINK \l "_TOC_250002" </w:instrText>
      </w:r>
      <w:r>
        <w:fldChar w:fldCharType="separate"/>
      </w:r>
      <w:r>
        <w:t>一、报价须知</w:t>
      </w:r>
      <w:r>
        <w:tab/>
      </w:r>
      <w:r>
        <w:rPr>
          <w:rFonts w:hint="eastAsia"/>
          <w:lang w:val="en-US" w:eastAsia="zh-CN"/>
        </w:rPr>
        <w:t>1</w:t>
      </w:r>
      <w:r>
        <w:fldChar w:fldCharType="end"/>
      </w:r>
    </w:p>
    <w:p>
      <w:pPr>
        <w:pStyle w:val="10"/>
        <w:tabs>
          <w:tab w:val="right" w:leader="dot" w:pos="7749"/>
        </w:tabs>
      </w:pPr>
      <w:r>
        <w:fldChar w:fldCharType="begin"/>
      </w:r>
      <w:r>
        <w:instrText xml:space="preserve"> HYPERLINK \l "_TOC_250001" </w:instrText>
      </w:r>
      <w:r>
        <w:fldChar w:fldCharType="separate"/>
      </w:r>
      <w:r>
        <w:rPr>
          <w:rFonts w:hint="eastAsia"/>
          <w:lang w:eastAsia="zh-CN"/>
        </w:rPr>
        <w:t>二、</w:t>
      </w:r>
      <w:r>
        <w:t>评审办法</w:t>
      </w:r>
      <w:r>
        <w:tab/>
      </w:r>
      <w:r>
        <w:rPr>
          <w:rFonts w:hint="eastAsia"/>
          <w:lang w:val="en-US" w:eastAsia="zh-CN"/>
        </w:rPr>
        <w:t>3</w:t>
      </w:r>
      <w:r>
        <w:rPr>
          <w:rFonts w:hint="eastAsia"/>
          <w:lang w:val="en-US"/>
        </w:rPr>
        <w:fldChar w:fldCharType="end"/>
      </w:r>
    </w:p>
    <w:p>
      <w:pPr>
        <w:pStyle w:val="10"/>
        <w:tabs>
          <w:tab w:val="right" w:leader="dot" w:pos="7972"/>
        </w:tabs>
        <w:rPr>
          <w:rFonts w:hint="eastAsia" w:eastAsia="微软雅黑"/>
          <w:lang w:val="en-US" w:eastAsia="zh-CN"/>
        </w:rPr>
      </w:pPr>
      <w:r>
        <w:fldChar w:fldCharType="begin"/>
      </w:r>
      <w:r>
        <w:instrText xml:space="preserve"> HYPERLINK \l "_TOC_250000" </w:instrText>
      </w:r>
      <w:r>
        <w:fldChar w:fldCharType="separate"/>
      </w:r>
      <w:r>
        <w:rPr>
          <w:rFonts w:hint="eastAsia"/>
          <w:lang w:eastAsia="zh-CN"/>
        </w:rPr>
        <w:t>三</w:t>
      </w:r>
      <w:r>
        <w:t>、询价响应文件格式</w:t>
      </w:r>
      <w:r>
        <w:rPr>
          <w:rFonts w:hint="eastAsia"/>
          <w:lang w:val="en-US"/>
        </w:rPr>
        <w:fldChar w:fldCharType="end"/>
      </w:r>
      <w:r>
        <w:tab/>
      </w:r>
      <w:r>
        <w:rPr>
          <w:rFonts w:hint="eastAsia"/>
          <w:lang w:val="en-US" w:eastAsia="zh-CN"/>
        </w:rPr>
        <w:t>4</w:t>
      </w:r>
    </w:p>
    <w:p/>
    <w:p>
      <w:pPr>
        <w:rPr>
          <w:rFonts w:ascii="微软雅黑" w:hAnsi="微软雅黑" w:eastAsia="微软雅黑" w:cs="微软雅黑"/>
          <w:sz w:val="22"/>
          <w:szCs w:val="22"/>
          <w:lang w:val="zh-CN" w:eastAsia="zh-CN" w:bidi="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rPr>
          <w:lang w:val="zh-CN" w:eastAsia="zh-CN"/>
        </w:rPr>
      </w:pPr>
    </w:p>
    <w:p>
      <w:pPr>
        <w:tabs>
          <w:tab w:val="center" w:pos="5035"/>
          <w:tab w:val="left" w:pos="6094"/>
        </w:tabs>
        <w:jc w:val="left"/>
        <w:rPr>
          <w:rFonts w:hint="default"/>
          <w:lang w:val="en-US" w:eastAsia="zh-CN"/>
        </w:rPr>
        <w:sectPr>
          <w:pgSz w:w="11910" w:h="16840"/>
          <w:pgMar w:top="820" w:right="920" w:bottom="280" w:left="920" w:header="587" w:footer="0" w:gutter="0"/>
          <w:pgNumType w:fmt="decimal"/>
          <w:cols w:space="720" w:num="1"/>
        </w:sectPr>
      </w:pPr>
      <w:r>
        <w:rPr>
          <w:rFonts w:hint="eastAsia"/>
          <w:lang w:val="zh-CN" w:eastAsia="zh-CN"/>
        </w:rPr>
        <w:tab/>
      </w:r>
      <w:r>
        <w:rPr>
          <w:rFonts w:hint="eastAsia"/>
          <w:lang w:val="zh-CN" w:eastAsia="zh-CN"/>
        </w:rPr>
        <w:tab/>
      </w:r>
    </w:p>
    <w:p>
      <w:pPr>
        <w:pStyle w:val="2"/>
        <w:spacing w:before="1"/>
        <w:ind w:left="0" w:right="1571"/>
      </w:pPr>
      <w:bookmarkStart w:id="0" w:name="_TOC_250002"/>
      <w:bookmarkEnd w:id="0"/>
      <w:r>
        <w:t>一、报价须知</w:t>
      </w:r>
    </w:p>
    <w:tbl>
      <w:tblPr>
        <w:tblStyle w:val="12"/>
        <w:tblW w:w="9840"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6"/>
        <w:gridCol w:w="2565"/>
        <w:gridCol w:w="6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5" w:hRule="atLeast"/>
        </w:trPr>
        <w:tc>
          <w:tcPr>
            <w:tcW w:w="866" w:type="dxa"/>
            <w:vAlign w:val="top"/>
          </w:tcPr>
          <w:p>
            <w:pPr>
              <w:pStyle w:val="15"/>
              <w:spacing w:line="380" w:lineRule="exact"/>
              <w:ind w:right="267"/>
              <w:jc w:val="right"/>
              <w:rPr>
                <w:b/>
                <w:sz w:val="24"/>
              </w:rPr>
            </w:pPr>
            <w:r>
              <w:rPr>
                <w:b/>
                <w:sz w:val="24"/>
              </w:rPr>
              <w:t>序号</w:t>
            </w:r>
          </w:p>
        </w:tc>
        <w:tc>
          <w:tcPr>
            <w:tcW w:w="2565" w:type="dxa"/>
            <w:vAlign w:val="top"/>
          </w:tcPr>
          <w:p>
            <w:pPr>
              <w:pStyle w:val="15"/>
              <w:tabs>
                <w:tab w:val="left" w:pos="727"/>
              </w:tabs>
              <w:spacing w:line="380" w:lineRule="exact"/>
              <w:ind w:left="7"/>
              <w:jc w:val="center"/>
              <w:rPr>
                <w:b/>
                <w:sz w:val="24"/>
              </w:rPr>
            </w:pPr>
            <w:r>
              <w:rPr>
                <w:b/>
                <w:sz w:val="24"/>
              </w:rPr>
              <w:t>内</w:t>
            </w:r>
            <w:r>
              <w:rPr>
                <w:b/>
                <w:sz w:val="24"/>
              </w:rPr>
              <w:tab/>
            </w:r>
            <w:r>
              <w:rPr>
                <w:b/>
                <w:sz w:val="24"/>
              </w:rPr>
              <w:t>容</w:t>
            </w:r>
          </w:p>
        </w:tc>
        <w:tc>
          <w:tcPr>
            <w:tcW w:w="6409" w:type="dxa"/>
            <w:vAlign w:val="top"/>
          </w:tcPr>
          <w:p>
            <w:pPr>
              <w:pStyle w:val="15"/>
              <w:spacing w:line="380" w:lineRule="exact"/>
              <w:ind w:right="2686"/>
              <w:jc w:val="center"/>
              <w:rPr>
                <w:b/>
                <w:sz w:val="24"/>
              </w:rPr>
            </w:pPr>
            <w:r>
              <w:rPr>
                <w:b/>
                <w:sz w:val="24"/>
              </w:rPr>
              <w:t>说明与</w:t>
            </w:r>
            <w:r>
              <w:rPr>
                <w:rFonts w:hint="eastAsia"/>
                <w:b/>
                <w:sz w:val="24"/>
                <w:lang w:eastAsia="zh-CN"/>
              </w:rPr>
              <w:t>要</w:t>
            </w:r>
            <w:r>
              <w:rPr>
                <w:b/>
                <w:sz w:val="24"/>
              </w:rPr>
              <w:t>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0" w:hRule="atLeast"/>
        </w:trPr>
        <w:tc>
          <w:tcPr>
            <w:tcW w:w="866" w:type="dxa"/>
            <w:vAlign w:val="top"/>
          </w:tcPr>
          <w:p>
            <w:pPr>
              <w:pStyle w:val="15"/>
              <w:spacing w:line="380" w:lineRule="exact"/>
              <w:ind w:left="11"/>
              <w:jc w:val="center"/>
              <w:rPr>
                <w:sz w:val="24"/>
              </w:rPr>
            </w:pPr>
            <w:r>
              <w:rPr>
                <w:sz w:val="24"/>
              </w:rPr>
              <w:t>1</w:t>
            </w:r>
          </w:p>
        </w:tc>
        <w:tc>
          <w:tcPr>
            <w:tcW w:w="2565" w:type="dxa"/>
            <w:vAlign w:val="top"/>
          </w:tcPr>
          <w:p>
            <w:pPr>
              <w:pStyle w:val="15"/>
              <w:spacing w:line="380" w:lineRule="exact"/>
              <w:ind w:left="7"/>
              <w:jc w:val="center"/>
              <w:rPr>
                <w:sz w:val="24"/>
              </w:rPr>
            </w:pPr>
            <w:r>
              <w:rPr>
                <w:sz w:val="24"/>
              </w:rPr>
              <w:t>项目名称</w:t>
            </w:r>
          </w:p>
        </w:tc>
        <w:tc>
          <w:tcPr>
            <w:tcW w:w="6409" w:type="dxa"/>
            <w:vAlign w:val="top"/>
          </w:tcPr>
          <w:p>
            <w:pPr>
              <w:pStyle w:val="15"/>
              <w:spacing w:line="380" w:lineRule="exact"/>
              <w:ind w:left="106"/>
              <w:rPr>
                <w:rFonts w:hint="eastAsia" w:ascii="宋体" w:eastAsia="微软雅黑"/>
                <w:sz w:val="21"/>
                <w:szCs w:val="21"/>
                <w:lang w:val="en-US" w:eastAsia="zh-CN"/>
              </w:rPr>
            </w:pPr>
            <w:r>
              <w:rPr>
                <w:rFonts w:hint="eastAsia" w:ascii="宋体" w:eastAsia="微软雅黑"/>
                <w:sz w:val="21"/>
                <w:szCs w:val="21"/>
                <w:lang w:val="en-US" w:eastAsia="zh-CN"/>
              </w:rPr>
              <w:t>呈贡区主次干道灯杆道旗安装购买服务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5" w:hRule="atLeast"/>
        </w:trPr>
        <w:tc>
          <w:tcPr>
            <w:tcW w:w="866" w:type="dxa"/>
            <w:vAlign w:val="top"/>
          </w:tcPr>
          <w:p>
            <w:pPr>
              <w:pStyle w:val="15"/>
              <w:spacing w:line="380" w:lineRule="exact"/>
              <w:ind w:left="11"/>
              <w:jc w:val="center"/>
              <w:rPr>
                <w:sz w:val="24"/>
              </w:rPr>
            </w:pPr>
            <w:r>
              <w:rPr>
                <w:sz w:val="24"/>
              </w:rPr>
              <w:t>2</w:t>
            </w:r>
          </w:p>
        </w:tc>
        <w:tc>
          <w:tcPr>
            <w:tcW w:w="2565" w:type="dxa"/>
            <w:vAlign w:val="top"/>
          </w:tcPr>
          <w:p>
            <w:pPr>
              <w:pStyle w:val="15"/>
              <w:spacing w:line="380" w:lineRule="exact"/>
              <w:ind w:left="7"/>
              <w:jc w:val="center"/>
              <w:rPr>
                <w:sz w:val="24"/>
              </w:rPr>
            </w:pPr>
            <w:r>
              <w:rPr>
                <w:sz w:val="24"/>
              </w:rPr>
              <w:t>采购人</w:t>
            </w:r>
          </w:p>
        </w:tc>
        <w:tc>
          <w:tcPr>
            <w:tcW w:w="6409" w:type="dxa"/>
            <w:vAlign w:val="top"/>
          </w:tcPr>
          <w:p>
            <w:pPr>
              <w:pStyle w:val="15"/>
              <w:spacing w:line="380" w:lineRule="exact"/>
              <w:ind w:left="106"/>
              <w:rPr>
                <w:sz w:val="24"/>
              </w:rPr>
            </w:pPr>
            <w:r>
              <w:rPr>
                <w:rFonts w:hint="eastAsia"/>
                <w:sz w:val="24"/>
                <w:lang w:eastAsia="zh-CN"/>
              </w:rPr>
              <w:t>中共昆明市呈贡区委宣传部</w:t>
            </w:r>
            <w:r>
              <w:rPr>
                <w:rFonts w:hint="eastAsia"/>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9" w:hRule="atLeast"/>
        </w:trPr>
        <w:tc>
          <w:tcPr>
            <w:tcW w:w="866" w:type="dxa"/>
            <w:vAlign w:val="top"/>
          </w:tcPr>
          <w:p>
            <w:pPr>
              <w:pStyle w:val="15"/>
              <w:spacing w:line="380" w:lineRule="exact"/>
              <w:ind w:left="11"/>
              <w:jc w:val="center"/>
              <w:rPr>
                <w:sz w:val="24"/>
              </w:rPr>
            </w:pPr>
            <w:r>
              <w:rPr>
                <w:sz w:val="24"/>
              </w:rPr>
              <w:t>3</w:t>
            </w:r>
          </w:p>
        </w:tc>
        <w:tc>
          <w:tcPr>
            <w:tcW w:w="2565" w:type="dxa"/>
            <w:vAlign w:val="top"/>
          </w:tcPr>
          <w:p>
            <w:pPr>
              <w:pStyle w:val="15"/>
              <w:spacing w:line="380" w:lineRule="exact"/>
              <w:ind w:left="7"/>
              <w:jc w:val="center"/>
              <w:rPr>
                <w:sz w:val="24"/>
              </w:rPr>
            </w:pPr>
            <w:r>
              <w:rPr>
                <w:sz w:val="24"/>
              </w:rPr>
              <w:t>资金来源</w:t>
            </w:r>
          </w:p>
        </w:tc>
        <w:tc>
          <w:tcPr>
            <w:tcW w:w="6409" w:type="dxa"/>
            <w:vAlign w:val="top"/>
          </w:tcPr>
          <w:p>
            <w:pPr>
              <w:pStyle w:val="15"/>
              <w:spacing w:line="380" w:lineRule="exact"/>
              <w:ind w:left="106"/>
              <w:rPr>
                <w:sz w:val="24"/>
              </w:rPr>
            </w:pPr>
            <w:r>
              <w:rPr>
                <w:rFonts w:hint="eastAsia"/>
                <w:sz w:val="24"/>
                <w:lang w:val="en-US" w:eastAsia="zh-CN"/>
              </w:rPr>
              <w:t>15</w:t>
            </w:r>
            <w:r>
              <w:rPr>
                <w:rFonts w:hint="eastAsia"/>
                <w:sz w:val="24"/>
              </w:rPr>
              <w:t>万元，从呈贡区委宣传部年初预算，</w:t>
            </w:r>
            <w:r>
              <w:rPr>
                <w:rFonts w:hint="eastAsia"/>
                <w:sz w:val="24"/>
                <w:lang w:eastAsia="zh-CN"/>
              </w:rPr>
              <w:t>“宣传活动经费”中列支</w:t>
            </w:r>
            <w:r>
              <w:rPr>
                <w:rFonts w:hint="eastAsia"/>
                <w:sz w:val="24"/>
              </w:rPr>
              <w:t>。</w:t>
            </w:r>
            <w:bookmarkStart w:id="4" w:name="_GoBack"/>
            <w:bookmarkEnd w:id="4"/>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83" w:hRule="atLeast"/>
        </w:trPr>
        <w:tc>
          <w:tcPr>
            <w:tcW w:w="866" w:type="dxa"/>
            <w:vAlign w:val="top"/>
          </w:tcPr>
          <w:p>
            <w:pPr>
              <w:pStyle w:val="15"/>
              <w:spacing w:before="270"/>
              <w:ind w:left="11"/>
              <w:jc w:val="center"/>
              <w:rPr>
                <w:sz w:val="24"/>
              </w:rPr>
            </w:pPr>
            <w:r>
              <w:rPr>
                <w:sz w:val="24"/>
              </w:rPr>
              <w:t>4</w:t>
            </w:r>
          </w:p>
        </w:tc>
        <w:tc>
          <w:tcPr>
            <w:tcW w:w="2565" w:type="dxa"/>
            <w:vAlign w:val="top"/>
          </w:tcPr>
          <w:p>
            <w:pPr>
              <w:pStyle w:val="15"/>
              <w:spacing w:before="270"/>
              <w:ind w:left="7"/>
              <w:jc w:val="center"/>
              <w:rPr>
                <w:rFonts w:hint="eastAsia" w:eastAsia="微软雅黑"/>
                <w:sz w:val="24"/>
                <w:lang w:eastAsia="zh-CN"/>
              </w:rPr>
            </w:pPr>
            <w:r>
              <w:rPr>
                <w:sz w:val="24"/>
              </w:rPr>
              <w:t>采购内容</w:t>
            </w:r>
            <w:r>
              <w:rPr>
                <w:rFonts w:hint="eastAsia"/>
                <w:sz w:val="24"/>
                <w:lang w:eastAsia="zh-CN"/>
              </w:rPr>
              <w:t>目标和要求</w:t>
            </w:r>
          </w:p>
        </w:tc>
        <w:tc>
          <w:tcPr>
            <w:tcW w:w="6409" w:type="dxa"/>
            <w:vAlign w:val="top"/>
          </w:tcPr>
          <w:p>
            <w:pPr>
              <w:pStyle w:val="15"/>
              <w:spacing w:line="380" w:lineRule="exact"/>
              <w:ind w:left="106"/>
              <w:rPr>
                <w:rFonts w:hint="eastAsia"/>
                <w:color w:val="auto"/>
                <w:sz w:val="24"/>
                <w:lang w:val="en-US" w:eastAsia="zh-CN"/>
              </w:rPr>
            </w:pPr>
            <w:r>
              <w:rPr>
                <w:rFonts w:hint="eastAsia"/>
                <w:color w:val="auto"/>
                <w:sz w:val="24"/>
                <w:lang w:val="en-US" w:eastAsia="zh-CN"/>
              </w:rPr>
              <w:t xml:space="preserve"> （一）为呈贡区春融街、锦绣大街、彩云南路、春融东路等10余条交通主次干道路灯灯杆提供党旗、国旗并进行安装服务（预计安装灯杆数量500颗，结算最终以实际安装量为准），以及后期拆除服务；</w:t>
            </w:r>
          </w:p>
          <w:p>
            <w:pPr>
              <w:pStyle w:val="15"/>
              <w:spacing w:line="380" w:lineRule="exact"/>
              <w:ind w:left="106"/>
              <w:rPr>
                <w:rFonts w:hint="eastAsia"/>
                <w:color w:val="auto"/>
                <w:sz w:val="24"/>
                <w:lang w:val="en-US" w:eastAsia="zh-CN"/>
              </w:rPr>
            </w:pPr>
            <w:r>
              <w:rPr>
                <w:rFonts w:hint="eastAsia"/>
                <w:color w:val="auto"/>
                <w:sz w:val="24"/>
                <w:lang w:val="en-US" w:eastAsia="zh-CN"/>
              </w:rPr>
              <w:t>（二）党旗、国旗规格：4号旗；安装样式：每颗灯左右分别安装1面党旗和1面国旗，竖排、金属材质构件固定；</w:t>
            </w:r>
          </w:p>
          <w:p>
            <w:pPr>
              <w:pStyle w:val="15"/>
              <w:spacing w:line="380" w:lineRule="exact"/>
              <w:ind w:left="106"/>
              <w:rPr>
                <w:rFonts w:hint="eastAsia"/>
                <w:color w:val="auto"/>
                <w:sz w:val="24"/>
                <w:lang w:val="en-US" w:eastAsia="zh-CN"/>
              </w:rPr>
            </w:pPr>
            <w:r>
              <w:rPr>
                <w:rFonts w:hint="eastAsia"/>
                <w:color w:val="auto"/>
                <w:sz w:val="24"/>
                <w:lang w:val="en-US" w:eastAsia="zh-CN"/>
              </w:rPr>
              <w:t>（三）美观大方、符合党旗、国旗安装规范；</w:t>
            </w:r>
          </w:p>
          <w:p>
            <w:pPr>
              <w:pStyle w:val="15"/>
              <w:spacing w:line="380" w:lineRule="exact"/>
              <w:ind w:left="106"/>
              <w:rPr>
                <w:rFonts w:hint="eastAsia"/>
                <w:color w:val="auto"/>
                <w:sz w:val="24"/>
                <w:lang w:val="en-US" w:eastAsia="zh-CN"/>
              </w:rPr>
            </w:pPr>
            <w:r>
              <w:rPr>
                <w:rFonts w:hint="eastAsia"/>
                <w:color w:val="auto"/>
                <w:sz w:val="24"/>
                <w:lang w:val="en-US" w:eastAsia="zh-CN"/>
              </w:rPr>
              <w:t>（四）2021年5月30日前完成安装；</w:t>
            </w:r>
          </w:p>
          <w:p>
            <w:pPr>
              <w:pStyle w:val="15"/>
              <w:spacing w:line="380" w:lineRule="exact"/>
              <w:ind w:left="106"/>
              <w:rPr>
                <w:rFonts w:hint="eastAsia"/>
                <w:color w:val="auto"/>
                <w:sz w:val="24"/>
                <w:lang w:val="en-US" w:eastAsia="zh-CN"/>
              </w:rPr>
            </w:pPr>
            <w:r>
              <w:rPr>
                <w:rFonts w:hint="eastAsia"/>
                <w:color w:val="auto"/>
                <w:sz w:val="24"/>
                <w:lang w:val="en-US" w:eastAsia="zh-CN"/>
              </w:rPr>
              <w:t>（五）质保：安装结束后的半年内（破损、歪斜、脱落、褪色等）。</w:t>
            </w:r>
          </w:p>
          <w:p>
            <w:pPr>
              <w:pStyle w:val="15"/>
              <w:spacing w:line="380" w:lineRule="exact"/>
              <w:ind w:left="106"/>
              <w:rPr>
                <w:rFonts w:hint="eastAsia"/>
                <w:color w:val="auto"/>
                <w:sz w:val="24"/>
                <w:lang w:val="en-US" w:eastAsia="zh-CN"/>
              </w:rPr>
            </w:pPr>
            <w:r>
              <w:rPr>
                <w:rFonts w:hint="eastAsia"/>
                <w:color w:val="auto"/>
                <w:sz w:val="24"/>
                <w:lang w:val="en-US" w:eastAsia="zh-CN"/>
              </w:rPr>
              <w:t>（六）专人24小时在线售后服务，出现脱落、破损等问题的，售后人员需在2个小时内抵达现场并恢复原貌。</w:t>
            </w:r>
          </w:p>
          <w:p>
            <w:pPr>
              <w:pStyle w:val="15"/>
              <w:spacing w:line="380" w:lineRule="exact"/>
              <w:ind w:left="106"/>
              <w:rPr>
                <w:rFonts w:hint="eastAsia"/>
                <w:color w:val="auto"/>
                <w:sz w:val="24"/>
                <w:lang w:val="en-US" w:eastAsia="zh-CN"/>
              </w:rPr>
            </w:pPr>
          </w:p>
          <w:p>
            <w:pPr>
              <w:pStyle w:val="15"/>
              <w:spacing w:line="380" w:lineRule="exact"/>
              <w:ind w:left="106"/>
              <w:rPr>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47" w:hRule="atLeast"/>
        </w:trPr>
        <w:tc>
          <w:tcPr>
            <w:tcW w:w="866" w:type="dxa"/>
            <w:vAlign w:val="top"/>
          </w:tcPr>
          <w:p>
            <w:pPr>
              <w:pStyle w:val="15"/>
              <w:spacing w:before="3"/>
              <w:rPr>
                <w:b/>
                <w:sz w:val="31"/>
              </w:rPr>
            </w:pPr>
          </w:p>
          <w:p>
            <w:pPr>
              <w:pStyle w:val="15"/>
              <w:ind w:left="11"/>
              <w:jc w:val="center"/>
              <w:rPr>
                <w:sz w:val="24"/>
              </w:rPr>
            </w:pPr>
            <w:r>
              <w:rPr>
                <w:sz w:val="24"/>
              </w:rPr>
              <w:t>5</w:t>
            </w:r>
          </w:p>
        </w:tc>
        <w:tc>
          <w:tcPr>
            <w:tcW w:w="2565" w:type="dxa"/>
            <w:vAlign w:val="top"/>
          </w:tcPr>
          <w:p>
            <w:pPr>
              <w:pStyle w:val="15"/>
              <w:spacing w:before="3"/>
              <w:rPr>
                <w:b/>
                <w:sz w:val="31"/>
              </w:rPr>
            </w:pPr>
          </w:p>
          <w:p>
            <w:pPr>
              <w:pStyle w:val="15"/>
              <w:ind w:left="7"/>
              <w:jc w:val="center"/>
              <w:rPr>
                <w:sz w:val="24"/>
              </w:rPr>
            </w:pPr>
            <w:r>
              <w:rPr>
                <w:sz w:val="24"/>
              </w:rPr>
              <w:t>询价响应单位要求</w:t>
            </w:r>
          </w:p>
        </w:tc>
        <w:tc>
          <w:tcPr>
            <w:tcW w:w="6409" w:type="dxa"/>
            <w:vAlign w:val="top"/>
          </w:tcPr>
          <w:p>
            <w:pPr>
              <w:widowControl w:val="0"/>
              <w:wordWrap/>
              <w:adjustRightInd/>
              <w:snapToGrid/>
              <w:spacing w:line="380" w:lineRule="exact"/>
              <w:ind w:firstLine="480" w:firstLineChars="200"/>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1.在中国境内注册并具有独立法人资格的合法企业，且符合相应的经营范围；</w:t>
            </w:r>
          </w:p>
          <w:p>
            <w:pPr>
              <w:widowControl w:val="0"/>
              <w:wordWrap/>
              <w:adjustRightInd/>
              <w:snapToGrid/>
              <w:spacing w:line="380" w:lineRule="exact"/>
              <w:ind w:firstLine="480" w:firstLineChars="200"/>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2.具有良好的商业信誉和健全的财务会计制度；</w:t>
            </w:r>
          </w:p>
          <w:p>
            <w:pPr>
              <w:widowControl w:val="0"/>
              <w:wordWrap/>
              <w:adjustRightInd/>
              <w:snapToGrid/>
              <w:spacing w:line="380" w:lineRule="exact"/>
              <w:ind w:firstLine="480" w:firstLineChars="200"/>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3.具有履行合同所必须的设备和专业技术能力；</w:t>
            </w:r>
          </w:p>
          <w:p>
            <w:pPr>
              <w:widowControl w:val="0"/>
              <w:wordWrap/>
              <w:adjustRightInd/>
              <w:snapToGrid/>
              <w:spacing w:line="380" w:lineRule="exact"/>
              <w:ind w:firstLine="480" w:firstLineChars="200"/>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4.具有依法缴纳税收和社会保障资金的良好记录；</w:t>
            </w:r>
          </w:p>
          <w:p>
            <w:pPr>
              <w:widowControl w:val="0"/>
              <w:wordWrap/>
              <w:adjustRightInd/>
              <w:snapToGrid/>
              <w:spacing w:line="380" w:lineRule="exact"/>
              <w:ind w:firstLine="480" w:firstLineChars="200"/>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5.参加本次政府采购活动前三年内，在经营活动中没有重大违法违规记录；</w:t>
            </w:r>
          </w:p>
          <w:p>
            <w:pPr>
              <w:widowControl w:val="0"/>
              <w:wordWrap/>
              <w:adjustRightInd/>
              <w:snapToGrid/>
              <w:spacing w:line="380" w:lineRule="exact"/>
              <w:ind w:firstLine="480" w:firstLineChars="200"/>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6.</w:t>
            </w:r>
            <w:r>
              <w:rPr>
                <w:rFonts w:hint="eastAsia" w:ascii="微软雅黑" w:hAnsi="微软雅黑" w:eastAsia="微软雅黑" w:cs="微软雅黑"/>
                <w:color w:val="auto"/>
                <w:sz w:val="24"/>
                <w:szCs w:val="24"/>
                <w:lang w:eastAsia="zh-CN"/>
              </w:rPr>
              <w:t>报价方</w:t>
            </w:r>
            <w:r>
              <w:rPr>
                <w:rFonts w:hint="eastAsia" w:ascii="微软雅黑" w:hAnsi="微软雅黑" w:eastAsia="微软雅黑" w:cs="微软雅黑"/>
                <w:color w:val="auto"/>
                <w:sz w:val="24"/>
                <w:szCs w:val="24"/>
              </w:rPr>
              <w:t>需提供的资格证明文件：法人授权书、法人代表和被授权人身份证复印件、营业执照副本、组织机构代码证副本、税务登记证（国、地税副本）。</w:t>
            </w:r>
          </w:p>
          <w:p>
            <w:pPr>
              <w:pStyle w:val="15"/>
              <w:spacing w:line="362" w:lineRule="exact"/>
              <w:ind w:left="106"/>
              <w:rPr>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3" w:hRule="atLeast"/>
        </w:trPr>
        <w:tc>
          <w:tcPr>
            <w:tcW w:w="866" w:type="dxa"/>
            <w:vAlign w:val="top"/>
          </w:tcPr>
          <w:p>
            <w:pPr>
              <w:pStyle w:val="15"/>
              <w:spacing w:before="201"/>
              <w:ind w:left="11"/>
              <w:jc w:val="center"/>
              <w:rPr>
                <w:sz w:val="24"/>
              </w:rPr>
            </w:pPr>
            <w:r>
              <w:rPr>
                <w:sz w:val="24"/>
              </w:rPr>
              <w:t>6</w:t>
            </w:r>
          </w:p>
        </w:tc>
        <w:tc>
          <w:tcPr>
            <w:tcW w:w="2565" w:type="dxa"/>
            <w:vAlign w:val="top"/>
          </w:tcPr>
          <w:p>
            <w:pPr>
              <w:pStyle w:val="15"/>
              <w:spacing w:line="398" w:lineRule="exact"/>
              <w:ind w:left="7"/>
              <w:jc w:val="center"/>
              <w:rPr>
                <w:sz w:val="24"/>
              </w:rPr>
            </w:pPr>
            <w:r>
              <w:rPr>
                <w:sz w:val="24"/>
              </w:rPr>
              <w:t>询价响应文件提交</w:t>
            </w:r>
          </w:p>
          <w:p>
            <w:pPr>
              <w:pStyle w:val="15"/>
              <w:spacing w:line="405" w:lineRule="exact"/>
              <w:ind w:left="7"/>
              <w:jc w:val="center"/>
              <w:rPr>
                <w:sz w:val="24"/>
              </w:rPr>
            </w:pPr>
            <w:r>
              <w:rPr>
                <w:sz w:val="24"/>
              </w:rPr>
              <w:t>方式</w:t>
            </w:r>
          </w:p>
        </w:tc>
        <w:tc>
          <w:tcPr>
            <w:tcW w:w="6409" w:type="dxa"/>
            <w:vAlign w:val="top"/>
          </w:tcPr>
          <w:p>
            <w:pPr>
              <w:pStyle w:val="15"/>
              <w:spacing w:before="237"/>
              <w:ind w:left="106"/>
              <w:rPr>
                <w:sz w:val="24"/>
              </w:rPr>
            </w:pPr>
            <w:r>
              <w:rPr>
                <w:rFonts w:hint="eastAsia" w:ascii="微软雅黑" w:hAnsi="微软雅黑" w:eastAsia="微软雅黑" w:cs="微软雅黑"/>
                <w:sz w:val="24"/>
                <w:szCs w:val="24"/>
                <w:lang w:eastAsia="zh-CN"/>
              </w:rPr>
              <w:t>纸质文件</w:t>
            </w:r>
            <w:r>
              <w:rPr>
                <w:rFonts w:hint="eastAsia" w:ascii="微软雅黑" w:hAnsi="微软雅黑" w:eastAsia="微软雅黑" w:cs="微软雅黑"/>
                <w:sz w:val="24"/>
                <w:szCs w:val="24"/>
              </w:rPr>
              <w:t>（密封盖章</w:t>
            </w:r>
            <w:r>
              <w:rPr>
                <w:rFonts w:hint="eastAsia" w:ascii="微软雅黑" w:hAnsi="微软雅黑" w:eastAsia="微软雅黑" w:cs="微软雅黑"/>
                <w:sz w:val="24"/>
                <w:szCs w:val="24"/>
                <w:lang w:val="en-US" w:eastAsia="zh-CN"/>
              </w:rPr>
              <w:t>3</w:t>
            </w:r>
            <w:r>
              <w:rPr>
                <w:rFonts w:hint="eastAsia" w:ascii="微软雅黑" w:hAnsi="微软雅黑" w:eastAsia="微软雅黑" w:cs="微软雅黑"/>
                <w:sz w:val="24"/>
                <w:szCs w:val="24"/>
              </w:rPr>
              <w:t>份）</w:t>
            </w:r>
            <w:r>
              <w:rPr>
                <w:sz w:val="24"/>
              </w:rPr>
              <w:t>提交</w:t>
            </w:r>
            <w:r>
              <w:rPr>
                <w:rFonts w:hint="eastAsia"/>
                <w:sz w:val="24"/>
                <w:lang w:eastAsia="zh-CN"/>
              </w:rPr>
              <w:t>至</w:t>
            </w:r>
            <w:r>
              <w:rPr>
                <w:rFonts w:hint="eastAsia"/>
                <w:sz w:val="24"/>
                <w:lang w:val="en-US" w:eastAsia="zh-CN"/>
              </w:rPr>
              <w:t>区委宣传部</w:t>
            </w:r>
            <w:r>
              <w:rPr>
                <w:sz w:val="24"/>
              </w:rPr>
              <w:t>，以收件日期为准</w:t>
            </w:r>
            <w:r>
              <w:rPr>
                <w:rFonts w:hint="eastAsia"/>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5" w:hRule="atLeast"/>
        </w:trPr>
        <w:tc>
          <w:tcPr>
            <w:tcW w:w="866" w:type="dxa"/>
            <w:vAlign w:val="top"/>
          </w:tcPr>
          <w:p>
            <w:pPr>
              <w:pStyle w:val="15"/>
              <w:spacing w:line="380" w:lineRule="exact"/>
              <w:ind w:left="11"/>
              <w:jc w:val="center"/>
              <w:rPr>
                <w:sz w:val="24"/>
              </w:rPr>
            </w:pPr>
            <w:r>
              <w:rPr>
                <w:sz w:val="24"/>
              </w:rPr>
              <w:t>7</w:t>
            </w:r>
          </w:p>
        </w:tc>
        <w:tc>
          <w:tcPr>
            <w:tcW w:w="2565" w:type="dxa"/>
            <w:vAlign w:val="top"/>
          </w:tcPr>
          <w:p>
            <w:pPr>
              <w:pStyle w:val="15"/>
              <w:spacing w:line="380" w:lineRule="exact"/>
              <w:ind w:left="7"/>
              <w:jc w:val="center"/>
              <w:rPr>
                <w:sz w:val="24"/>
              </w:rPr>
            </w:pPr>
            <w:r>
              <w:rPr>
                <w:sz w:val="24"/>
              </w:rPr>
              <w:t>询价响应文件份数</w:t>
            </w:r>
          </w:p>
        </w:tc>
        <w:tc>
          <w:tcPr>
            <w:tcW w:w="6409" w:type="dxa"/>
            <w:vAlign w:val="top"/>
          </w:tcPr>
          <w:p>
            <w:pPr>
              <w:pStyle w:val="15"/>
              <w:spacing w:line="380" w:lineRule="exact"/>
              <w:ind w:left="106"/>
              <w:rPr>
                <w:sz w:val="24"/>
              </w:rPr>
            </w:pPr>
            <w:r>
              <w:rPr>
                <w:sz w:val="24"/>
              </w:rPr>
              <w:t>一式</w:t>
            </w:r>
            <w:r>
              <w:rPr>
                <w:rFonts w:hint="eastAsia"/>
                <w:sz w:val="24"/>
                <w:lang w:eastAsia="zh-CN"/>
              </w:rPr>
              <w:t>三</w:t>
            </w:r>
            <w:r>
              <w:rPr>
                <w:sz w:val="24"/>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80" w:hRule="atLeast"/>
        </w:trPr>
        <w:tc>
          <w:tcPr>
            <w:tcW w:w="866" w:type="dxa"/>
            <w:vAlign w:val="top"/>
          </w:tcPr>
          <w:p>
            <w:pPr>
              <w:pStyle w:val="15"/>
              <w:rPr>
                <w:b/>
                <w:sz w:val="32"/>
              </w:rPr>
            </w:pPr>
          </w:p>
          <w:p>
            <w:pPr>
              <w:pStyle w:val="15"/>
              <w:spacing w:before="1"/>
              <w:rPr>
                <w:b/>
                <w:sz w:val="18"/>
              </w:rPr>
            </w:pPr>
          </w:p>
          <w:p>
            <w:pPr>
              <w:pStyle w:val="15"/>
              <w:spacing w:before="1"/>
              <w:ind w:left="11"/>
              <w:jc w:val="center"/>
              <w:rPr>
                <w:sz w:val="24"/>
              </w:rPr>
            </w:pPr>
            <w:r>
              <w:rPr>
                <w:sz w:val="24"/>
              </w:rPr>
              <w:t>8</w:t>
            </w:r>
          </w:p>
        </w:tc>
        <w:tc>
          <w:tcPr>
            <w:tcW w:w="2565" w:type="dxa"/>
            <w:vAlign w:val="top"/>
          </w:tcPr>
          <w:p>
            <w:pPr>
              <w:pStyle w:val="15"/>
              <w:spacing w:before="4"/>
              <w:rPr>
                <w:b/>
                <w:sz w:val="42"/>
              </w:rPr>
            </w:pPr>
          </w:p>
          <w:p>
            <w:pPr>
              <w:pStyle w:val="15"/>
              <w:spacing w:line="206" w:lineRule="auto"/>
              <w:ind w:left="330" w:right="200" w:hanging="120"/>
              <w:rPr>
                <w:sz w:val="24"/>
              </w:rPr>
            </w:pPr>
            <w:r>
              <w:rPr>
                <w:sz w:val="24"/>
              </w:rPr>
              <w:t>询价响应文件递交截止时间及地点</w:t>
            </w:r>
          </w:p>
        </w:tc>
        <w:tc>
          <w:tcPr>
            <w:tcW w:w="6409" w:type="dxa"/>
            <w:vAlign w:val="top"/>
          </w:tcPr>
          <w:p>
            <w:pPr>
              <w:pStyle w:val="15"/>
              <w:spacing w:line="386" w:lineRule="exact"/>
              <w:ind w:left="106"/>
              <w:rPr>
                <w:rFonts w:hint="default" w:eastAsia="微软雅黑"/>
                <w:sz w:val="24"/>
                <w:lang w:val="en-US" w:eastAsia="zh-CN"/>
              </w:rPr>
            </w:pPr>
            <w:r>
              <w:rPr>
                <w:sz w:val="24"/>
              </w:rPr>
              <w:t>截止时间：202</w:t>
            </w:r>
            <w:r>
              <w:rPr>
                <w:rFonts w:hint="eastAsia"/>
                <w:sz w:val="24"/>
              </w:rPr>
              <w:t>1</w:t>
            </w:r>
            <w:r>
              <w:rPr>
                <w:sz w:val="24"/>
              </w:rPr>
              <w:t xml:space="preserve"> 年 </w:t>
            </w:r>
            <w:r>
              <w:rPr>
                <w:rFonts w:hint="eastAsia"/>
                <w:sz w:val="24"/>
              </w:rPr>
              <w:t>5</w:t>
            </w:r>
            <w:r>
              <w:rPr>
                <w:sz w:val="24"/>
              </w:rPr>
              <w:t>月</w:t>
            </w:r>
            <w:r>
              <w:rPr>
                <w:rFonts w:hint="eastAsia"/>
                <w:sz w:val="24"/>
                <w:lang w:val="en-US" w:eastAsia="zh-CN"/>
              </w:rPr>
              <w:t>24</w:t>
            </w:r>
            <w:r>
              <w:rPr>
                <w:sz w:val="24"/>
              </w:rPr>
              <w:t>日</w:t>
            </w:r>
            <w:r>
              <w:rPr>
                <w:rFonts w:hint="eastAsia"/>
                <w:sz w:val="24"/>
                <w:lang w:eastAsia="zh-CN"/>
              </w:rPr>
              <w:t>下午</w:t>
            </w:r>
            <w:r>
              <w:rPr>
                <w:rFonts w:hint="eastAsia"/>
                <w:sz w:val="24"/>
                <w:lang w:val="en-US" w:eastAsia="zh-CN"/>
              </w:rPr>
              <w:t>17:00</w:t>
            </w:r>
          </w:p>
          <w:p>
            <w:pPr>
              <w:pStyle w:val="15"/>
              <w:spacing w:line="379" w:lineRule="exact"/>
              <w:ind w:left="106"/>
              <w:rPr>
                <w:rFonts w:hint="eastAsia"/>
                <w:sz w:val="24"/>
                <w:lang w:val="en-US" w:eastAsia="zh-CN"/>
              </w:rPr>
            </w:pPr>
            <w:r>
              <w:rPr>
                <w:sz w:val="24"/>
              </w:rPr>
              <w:t>递交（邮寄）地点：</w:t>
            </w:r>
            <w:r>
              <w:rPr>
                <w:rFonts w:hint="eastAsia"/>
                <w:sz w:val="24"/>
                <w:lang w:val="en-US" w:eastAsia="zh-CN"/>
              </w:rPr>
              <w:t>呈贡区融媒体中心2205室（呈贡区惠景园d7栋22楼2205）</w:t>
            </w:r>
          </w:p>
          <w:p>
            <w:pPr>
              <w:pStyle w:val="15"/>
              <w:spacing w:line="379" w:lineRule="exact"/>
              <w:ind w:left="106"/>
              <w:rPr>
                <w:sz w:val="24"/>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9" w:hRule="atLeast"/>
        </w:trPr>
        <w:tc>
          <w:tcPr>
            <w:tcW w:w="866" w:type="dxa"/>
            <w:vAlign w:val="top"/>
          </w:tcPr>
          <w:p>
            <w:pPr>
              <w:pStyle w:val="15"/>
              <w:spacing w:before="179"/>
              <w:ind w:left="11"/>
              <w:jc w:val="center"/>
              <w:rPr>
                <w:sz w:val="24"/>
              </w:rPr>
            </w:pPr>
            <w:r>
              <w:rPr>
                <w:sz w:val="24"/>
              </w:rPr>
              <w:t>9</w:t>
            </w:r>
          </w:p>
        </w:tc>
        <w:tc>
          <w:tcPr>
            <w:tcW w:w="2565" w:type="dxa"/>
            <w:vAlign w:val="top"/>
          </w:tcPr>
          <w:p>
            <w:pPr>
              <w:pStyle w:val="15"/>
              <w:spacing w:before="179"/>
              <w:ind w:left="7"/>
              <w:jc w:val="center"/>
              <w:rPr>
                <w:sz w:val="24"/>
              </w:rPr>
            </w:pPr>
            <w:r>
              <w:rPr>
                <w:sz w:val="24"/>
              </w:rPr>
              <w:t>评标方法</w:t>
            </w:r>
          </w:p>
        </w:tc>
        <w:tc>
          <w:tcPr>
            <w:tcW w:w="6409" w:type="dxa"/>
            <w:vAlign w:val="top"/>
          </w:tcPr>
          <w:p>
            <w:pPr>
              <w:pStyle w:val="15"/>
              <w:spacing w:before="179"/>
              <w:ind w:left="106"/>
              <w:rPr>
                <w:sz w:val="24"/>
              </w:rPr>
            </w:pPr>
            <w:r>
              <w:rPr>
                <w:rFonts w:hint="eastAsia"/>
                <w:sz w:val="24"/>
                <w:lang w:eastAsia="zh-CN"/>
              </w:rPr>
              <w:t>每颗灯杆道旗（</w:t>
            </w:r>
            <w:r>
              <w:rPr>
                <w:rFonts w:hint="eastAsia"/>
                <w:sz w:val="24"/>
                <w:lang w:val="en-US" w:eastAsia="zh-CN"/>
              </w:rPr>
              <w:t>1面国旗和1面党旗</w:t>
            </w:r>
            <w:r>
              <w:rPr>
                <w:rFonts w:hint="eastAsia"/>
                <w:sz w:val="24"/>
                <w:lang w:eastAsia="zh-CN"/>
              </w:rPr>
              <w:t>）安装拆除服务费，</w:t>
            </w:r>
            <w:r>
              <w:rPr>
                <w:sz w:val="24"/>
              </w:rPr>
              <w:t>最</w:t>
            </w:r>
            <w:r>
              <w:rPr>
                <w:rFonts w:hint="eastAsia"/>
                <w:sz w:val="24"/>
                <w:lang w:eastAsia="zh-CN"/>
              </w:rPr>
              <w:t>低</w:t>
            </w:r>
            <w:r>
              <w:rPr>
                <w:sz w:val="24"/>
              </w:rPr>
              <w:t>价中标</w:t>
            </w:r>
            <w:r>
              <w:rPr>
                <w:rFonts w:hint="eastAsia"/>
                <w:sz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7" w:hRule="atLeast"/>
        </w:trPr>
        <w:tc>
          <w:tcPr>
            <w:tcW w:w="866" w:type="dxa"/>
            <w:vAlign w:val="top"/>
          </w:tcPr>
          <w:p>
            <w:pPr>
              <w:pStyle w:val="15"/>
              <w:spacing w:before="14"/>
              <w:jc w:val="center"/>
              <w:rPr>
                <w:b/>
                <w:sz w:val="20"/>
                <w:szCs w:val="18"/>
              </w:rPr>
            </w:pPr>
            <w:r>
              <w:rPr>
                <w:sz w:val="24"/>
              </w:rPr>
              <w:t>10</w:t>
            </w:r>
          </w:p>
        </w:tc>
        <w:tc>
          <w:tcPr>
            <w:tcW w:w="2565" w:type="dxa"/>
            <w:vAlign w:val="top"/>
          </w:tcPr>
          <w:p>
            <w:pPr>
              <w:pStyle w:val="15"/>
              <w:spacing w:before="1"/>
              <w:jc w:val="center"/>
              <w:rPr>
                <w:sz w:val="24"/>
              </w:rPr>
            </w:pPr>
            <w:r>
              <w:rPr>
                <w:sz w:val="24"/>
              </w:rPr>
              <w:t>询价响应要求</w:t>
            </w:r>
          </w:p>
        </w:tc>
        <w:tc>
          <w:tcPr>
            <w:tcW w:w="6409" w:type="dxa"/>
            <w:vAlign w:val="top"/>
          </w:tcPr>
          <w:p>
            <w:pPr>
              <w:pStyle w:val="15"/>
              <w:spacing w:before="12" w:line="206" w:lineRule="auto"/>
              <w:ind w:left="106" w:right="94" w:firstLine="480" w:firstLineChars="200"/>
              <w:rPr>
                <w:sz w:val="24"/>
              </w:rPr>
            </w:pPr>
            <w:r>
              <w:rPr>
                <w:sz w:val="24"/>
              </w:rPr>
              <w:t>询价响应单位应充分考虑自身实力、市场风险等因素，合理报价。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72" w:hRule="atLeast"/>
        </w:trPr>
        <w:tc>
          <w:tcPr>
            <w:tcW w:w="866" w:type="dxa"/>
            <w:vAlign w:val="top"/>
          </w:tcPr>
          <w:p>
            <w:pPr>
              <w:pStyle w:val="15"/>
              <w:spacing w:before="1"/>
              <w:ind w:right="280"/>
              <w:jc w:val="right"/>
              <w:rPr>
                <w:rFonts w:hint="default" w:eastAsia="微软雅黑"/>
                <w:sz w:val="24"/>
                <w:lang w:val="en-US" w:eastAsia="zh-CN"/>
              </w:rPr>
            </w:pPr>
            <w:r>
              <w:rPr>
                <w:rFonts w:hint="eastAsia"/>
                <w:sz w:val="24"/>
                <w:lang w:val="en-US" w:eastAsia="zh-CN"/>
              </w:rPr>
              <w:t>11</w:t>
            </w:r>
          </w:p>
        </w:tc>
        <w:tc>
          <w:tcPr>
            <w:tcW w:w="2565" w:type="dxa"/>
            <w:vAlign w:val="top"/>
          </w:tcPr>
          <w:p>
            <w:pPr>
              <w:pStyle w:val="15"/>
              <w:spacing w:before="238"/>
              <w:ind w:left="7"/>
              <w:jc w:val="center"/>
              <w:rPr>
                <w:sz w:val="24"/>
              </w:rPr>
            </w:pPr>
            <w:r>
              <w:rPr>
                <w:sz w:val="24"/>
              </w:rPr>
              <w:t>付款方式</w:t>
            </w:r>
          </w:p>
        </w:tc>
        <w:tc>
          <w:tcPr>
            <w:tcW w:w="6409" w:type="dxa"/>
            <w:vAlign w:val="top"/>
          </w:tcPr>
          <w:p>
            <w:pPr>
              <w:pStyle w:val="15"/>
              <w:spacing w:line="383" w:lineRule="exact"/>
              <w:ind w:left="106"/>
              <w:rPr>
                <w:rFonts w:hint="eastAsia" w:eastAsia="微软雅黑"/>
                <w:color w:val="FF0000"/>
                <w:sz w:val="24"/>
                <w:lang w:eastAsia="zh-CN"/>
              </w:rPr>
            </w:pPr>
            <w:r>
              <w:rPr>
                <w:rFonts w:hint="eastAsia"/>
                <w:color w:val="auto"/>
                <w:sz w:val="24"/>
                <w:lang w:eastAsia="zh-CN"/>
              </w:rPr>
              <w:t>以双方约定为准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97" w:hRule="atLeast"/>
        </w:trPr>
        <w:tc>
          <w:tcPr>
            <w:tcW w:w="866" w:type="dxa"/>
            <w:vAlign w:val="top"/>
          </w:tcPr>
          <w:p>
            <w:pPr>
              <w:pStyle w:val="15"/>
              <w:spacing w:before="1"/>
              <w:ind w:right="280"/>
              <w:jc w:val="right"/>
              <w:rPr>
                <w:rFonts w:hint="default" w:eastAsia="微软雅黑"/>
                <w:sz w:val="24"/>
                <w:lang w:val="en-US" w:eastAsia="zh-CN"/>
              </w:rPr>
            </w:pPr>
            <w:r>
              <w:rPr>
                <w:rFonts w:hint="eastAsia"/>
                <w:sz w:val="24"/>
                <w:lang w:val="en-US" w:eastAsia="zh-CN"/>
              </w:rPr>
              <w:t>12</w:t>
            </w:r>
          </w:p>
        </w:tc>
        <w:tc>
          <w:tcPr>
            <w:tcW w:w="2565" w:type="dxa"/>
            <w:vAlign w:val="top"/>
          </w:tcPr>
          <w:p>
            <w:pPr>
              <w:pStyle w:val="15"/>
              <w:spacing w:before="233"/>
              <w:ind w:left="7"/>
              <w:jc w:val="center"/>
              <w:rPr>
                <w:sz w:val="24"/>
              </w:rPr>
            </w:pPr>
            <w:r>
              <w:rPr>
                <w:sz w:val="24"/>
              </w:rPr>
              <w:t>其他</w:t>
            </w:r>
          </w:p>
        </w:tc>
        <w:tc>
          <w:tcPr>
            <w:tcW w:w="6409" w:type="dxa"/>
            <w:vAlign w:val="top"/>
          </w:tcPr>
          <w:p>
            <w:pPr>
              <w:pStyle w:val="15"/>
              <w:spacing w:before="43" w:line="411" w:lineRule="exact"/>
              <w:ind w:left="106"/>
              <w:rPr>
                <w:sz w:val="24"/>
              </w:rPr>
            </w:pPr>
            <w:r>
              <w:rPr>
                <w:sz w:val="24"/>
              </w:rPr>
              <w:t>1、询价响应文件一律不予退还；</w:t>
            </w:r>
          </w:p>
          <w:p>
            <w:pPr>
              <w:pStyle w:val="15"/>
              <w:spacing w:line="399" w:lineRule="exact"/>
              <w:ind w:left="106"/>
              <w:rPr>
                <w:sz w:val="24"/>
              </w:rPr>
            </w:pPr>
            <w:r>
              <w:rPr>
                <w:sz w:val="24"/>
              </w:rPr>
              <w:t>2、本询价文件的最终解释权归</w:t>
            </w:r>
            <w:r>
              <w:rPr>
                <w:rFonts w:hint="eastAsia"/>
                <w:sz w:val="24"/>
                <w:lang w:eastAsia="zh-CN"/>
              </w:rPr>
              <w:t>中共昆明市呈贡区委宣传部</w:t>
            </w:r>
            <w:r>
              <w:rPr>
                <w:rFonts w:hint="eastAsia"/>
                <w:sz w:val="24"/>
              </w:rPr>
              <w:t xml:space="preserve"> </w:t>
            </w:r>
            <w:r>
              <w:rPr>
                <w:sz w:val="24"/>
              </w:rPr>
              <w:t>。</w:t>
            </w:r>
          </w:p>
        </w:tc>
      </w:tr>
    </w:tbl>
    <w:p>
      <w:pPr>
        <w:pStyle w:val="6"/>
        <w:spacing w:before="6"/>
      </w:pPr>
    </w:p>
    <w:p>
      <w:pPr>
        <w:pStyle w:val="6"/>
        <w:spacing w:before="6"/>
        <w:rPr>
          <w:b/>
          <w:sz w:val="32"/>
        </w:rPr>
      </w:pPr>
    </w:p>
    <w:p>
      <w:pPr>
        <w:pStyle w:val="6"/>
        <w:spacing w:before="6"/>
        <w:rPr>
          <w:b/>
          <w:sz w:val="32"/>
        </w:rPr>
      </w:pPr>
    </w:p>
    <w:p>
      <w:pPr>
        <w:pStyle w:val="6"/>
        <w:spacing w:before="6"/>
        <w:rPr>
          <w:b/>
          <w:sz w:val="32"/>
        </w:rPr>
      </w:pPr>
    </w:p>
    <w:p>
      <w:pPr>
        <w:widowControl/>
        <w:rPr>
          <w:rFonts w:hint="eastAsia"/>
          <w:b/>
          <w:sz w:val="32"/>
          <w:lang w:eastAsia="zh-CN"/>
        </w:rPr>
      </w:pPr>
    </w:p>
    <w:p>
      <w:pPr>
        <w:widowControl/>
        <w:rPr>
          <w:rFonts w:hint="eastAsia"/>
          <w:b/>
          <w:sz w:val="32"/>
          <w:lang w:eastAsia="zh-CN"/>
        </w:rPr>
      </w:pPr>
    </w:p>
    <w:p>
      <w:pPr>
        <w:widowControl/>
        <w:rPr>
          <w:rFonts w:hint="eastAsia"/>
          <w:b/>
          <w:sz w:val="32"/>
          <w:lang w:eastAsia="zh-CN"/>
        </w:rPr>
      </w:pPr>
    </w:p>
    <w:p>
      <w:pPr>
        <w:widowControl/>
        <w:rPr>
          <w:rFonts w:hint="eastAsia"/>
          <w:b/>
          <w:sz w:val="32"/>
          <w:lang w:eastAsia="zh-CN"/>
        </w:rPr>
      </w:pPr>
    </w:p>
    <w:p>
      <w:pPr>
        <w:pStyle w:val="6"/>
        <w:spacing w:before="6"/>
        <w:rPr>
          <w:rFonts w:ascii="Times New Roman"/>
          <w:sz w:val="32"/>
        </w:rPr>
      </w:pPr>
    </w:p>
    <w:p>
      <w:pPr>
        <w:pStyle w:val="2"/>
        <w:spacing w:before="146"/>
        <w:ind w:left="0" w:right="3396"/>
        <w:jc w:val="both"/>
      </w:pPr>
      <w:bookmarkStart w:id="1" w:name="_TOC_250001"/>
      <w:bookmarkEnd w:id="1"/>
    </w:p>
    <w:p>
      <w:pPr>
        <w:pStyle w:val="2"/>
        <w:spacing w:before="146"/>
        <w:ind w:left="0" w:right="3396"/>
        <w:jc w:val="both"/>
        <w:rPr>
          <w:sz w:val="38"/>
        </w:rPr>
      </w:pPr>
      <w:r>
        <w:rPr>
          <w:rFonts w:hint="eastAsia"/>
          <w:lang w:val="en-US" w:eastAsia="zh-CN"/>
        </w:rPr>
        <w:t xml:space="preserve">       </w:t>
      </w:r>
      <w:r>
        <w:rPr>
          <w:rFonts w:hint="eastAsia"/>
          <w:lang w:eastAsia="zh-CN"/>
        </w:rPr>
        <w:t>二</w:t>
      </w:r>
      <w:r>
        <w:t>、评审办法</w:t>
      </w:r>
    </w:p>
    <w:p>
      <w:pPr>
        <w:pStyle w:val="14"/>
        <w:numPr>
          <w:ilvl w:val="0"/>
          <w:numId w:val="0"/>
        </w:numPr>
        <w:tabs>
          <w:tab w:val="left" w:pos="988"/>
        </w:tabs>
        <w:ind w:left="660" w:leftChars="0"/>
        <w:rPr>
          <w:sz w:val="24"/>
        </w:rPr>
      </w:pPr>
      <w:r>
        <w:rPr>
          <w:rFonts w:hint="eastAsia"/>
          <w:sz w:val="24"/>
          <w:lang w:val="en-US" w:eastAsia="zh-CN"/>
        </w:rPr>
        <w:t>2.1</w:t>
      </w:r>
      <w:r>
        <w:rPr>
          <w:sz w:val="24"/>
        </w:rPr>
        <w:t>评标方法：最</w:t>
      </w:r>
      <w:r>
        <w:rPr>
          <w:rFonts w:hint="eastAsia"/>
          <w:sz w:val="24"/>
          <w:lang w:eastAsia="zh-CN"/>
        </w:rPr>
        <w:t>低</w:t>
      </w:r>
      <w:r>
        <w:rPr>
          <w:sz w:val="24"/>
        </w:rPr>
        <w:t>价中标。</w:t>
      </w:r>
    </w:p>
    <w:p>
      <w:pPr>
        <w:pStyle w:val="14"/>
        <w:numPr>
          <w:ilvl w:val="0"/>
          <w:numId w:val="0"/>
        </w:numPr>
        <w:tabs>
          <w:tab w:val="left" w:pos="988"/>
        </w:tabs>
        <w:spacing w:before="117"/>
        <w:ind w:left="660" w:leftChars="0"/>
        <w:rPr>
          <w:sz w:val="24"/>
        </w:rPr>
      </w:pPr>
      <w:r>
        <w:rPr>
          <w:rFonts w:hint="eastAsia"/>
          <w:sz w:val="24"/>
          <w:lang w:val="en-US" w:eastAsia="zh-CN"/>
        </w:rPr>
        <w:t>2.2</w:t>
      </w:r>
      <w:r>
        <w:rPr>
          <w:sz w:val="24"/>
        </w:rPr>
        <w:t>评审标准：</w:t>
      </w:r>
    </w:p>
    <w:p>
      <w:pPr>
        <w:pStyle w:val="6"/>
        <w:spacing w:before="119"/>
        <w:ind w:left="1069"/>
      </w:pPr>
      <w:r>
        <w:t>询价小组按照客观、公平、公正的原则进行评审。</w:t>
      </w:r>
    </w:p>
    <w:p>
      <w:pPr>
        <w:pStyle w:val="14"/>
        <w:numPr>
          <w:ilvl w:val="0"/>
          <w:numId w:val="0"/>
        </w:numPr>
        <w:tabs>
          <w:tab w:val="left" w:pos="988"/>
        </w:tabs>
        <w:spacing w:before="52"/>
        <w:ind w:left="660" w:leftChars="0"/>
        <w:rPr>
          <w:sz w:val="24"/>
        </w:rPr>
      </w:pPr>
      <w:r>
        <w:rPr>
          <w:rFonts w:hint="eastAsia"/>
          <w:sz w:val="24"/>
          <w:lang w:val="en-US" w:eastAsia="zh-CN"/>
        </w:rPr>
        <w:t>2.3</w:t>
      </w:r>
      <w:r>
        <w:rPr>
          <w:sz w:val="24"/>
        </w:rPr>
        <w:t>在评审过程中，出现下列情形之一的，应作废标：</w:t>
      </w:r>
    </w:p>
    <w:p>
      <w:pPr>
        <w:pStyle w:val="14"/>
        <w:numPr>
          <w:ilvl w:val="0"/>
          <w:numId w:val="0"/>
        </w:numPr>
        <w:tabs>
          <w:tab w:val="left" w:pos="1188"/>
        </w:tabs>
        <w:spacing w:before="38"/>
        <w:ind w:left="588" w:leftChars="0"/>
        <w:rPr>
          <w:sz w:val="24"/>
        </w:rPr>
      </w:pPr>
      <w:r>
        <w:rPr>
          <w:rFonts w:hint="eastAsia"/>
          <w:sz w:val="24"/>
          <w:lang w:val="en-US" w:eastAsia="zh-CN"/>
        </w:rPr>
        <w:t>2.3.1</w:t>
      </w:r>
      <w:r>
        <w:rPr>
          <w:sz w:val="24"/>
        </w:rPr>
        <w:t>出现影响询价公正的违法、违规行为的；</w:t>
      </w:r>
    </w:p>
    <w:p>
      <w:pPr>
        <w:pStyle w:val="14"/>
        <w:numPr>
          <w:ilvl w:val="0"/>
          <w:numId w:val="0"/>
        </w:numPr>
        <w:tabs>
          <w:tab w:val="left" w:pos="1188"/>
        </w:tabs>
        <w:spacing w:before="37"/>
        <w:ind w:left="588" w:leftChars="0"/>
        <w:rPr>
          <w:sz w:val="24"/>
        </w:rPr>
      </w:pPr>
      <w:r>
        <w:rPr>
          <w:rFonts w:hint="eastAsia"/>
          <w:sz w:val="24"/>
          <w:lang w:val="en-US" w:eastAsia="zh-CN"/>
        </w:rPr>
        <w:t>2.3.2</w:t>
      </w:r>
      <w:r>
        <w:rPr>
          <w:sz w:val="24"/>
        </w:rPr>
        <w:t>所有询价响应单位报价均为无效标的；</w:t>
      </w:r>
    </w:p>
    <w:p>
      <w:pPr>
        <w:pStyle w:val="14"/>
        <w:numPr>
          <w:ilvl w:val="0"/>
          <w:numId w:val="0"/>
        </w:numPr>
        <w:tabs>
          <w:tab w:val="left" w:pos="1188"/>
        </w:tabs>
        <w:spacing w:before="38" w:line="261" w:lineRule="auto"/>
        <w:ind w:left="589" w:leftChars="0" w:right="224" w:rightChars="0"/>
        <w:rPr>
          <w:sz w:val="24"/>
        </w:rPr>
      </w:pPr>
      <w:r>
        <w:rPr>
          <w:rFonts w:hint="eastAsia"/>
          <w:spacing w:val="-1"/>
          <w:sz w:val="24"/>
          <w:lang w:val="en-US" w:eastAsia="zh-CN"/>
        </w:rPr>
        <w:t>2.3.3</w:t>
      </w:r>
      <w:r>
        <w:rPr>
          <w:spacing w:val="-1"/>
          <w:sz w:val="24"/>
        </w:rPr>
        <w:t>报价明显低于其他响应报价的，必须在响应文件中作出单独书面说明并提供相关证明材</w:t>
      </w:r>
      <w:r>
        <w:rPr>
          <w:sz w:val="24"/>
        </w:rPr>
        <w:t>料，不能提供相关证明材料的，作无效标的处理。</w:t>
      </w:r>
    </w:p>
    <w:p>
      <w:pPr>
        <w:pStyle w:val="14"/>
        <w:numPr>
          <w:ilvl w:val="0"/>
          <w:numId w:val="0"/>
        </w:numPr>
        <w:tabs>
          <w:tab w:val="left" w:pos="1188"/>
        </w:tabs>
        <w:spacing w:line="261" w:lineRule="auto"/>
        <w:ind w:left="589" w:leftChars="0" w:right="224" w:rightChars="0"/>
        <w:rPr>
          <w:sz w:val="24"/>
        </w:rPr>
      </w:pPr>
      <w:r>
        <w:rPr>
          <w:rFonts w:hint="eastAsia"/>
          <w:spacing w:val="-1"/>
          <w:sz w:val="24"/>
          <w:lang w:val="en-US" w:eastAsia="zh-CN"/>
        </w:rPr>
        <w:t>2.4</w:t>
      </w:r>
      <w:r>
        <w:rPr>
          <w:spacing w:val="-1"/>
          <w:sz w:val="24"/>
        </w:rPr>
        <w:t>不能合理说明或者提供相关证明材料被询价小组认定为以低于成本报价竞标的，作无效</w:t>
      </w:r>
      <w:r>
        <w:rPr>
          <w:sz w:val="24"/>
        </w:rPr>
        <w:t>标的处理。</w:t>
      </w:r>
    </w:p>
    <w:p>
      <w:pPr>
        <w:pStyle w:val="14"/>
        <w:numPr>
          <w:ilvl w:val="0"/>
          <w:numId w:val="0"/>
        </w:numPr>
        <w:tabs>
          <w:tab w:val="left" w:pos="1188"/>
        </w:tabs>
        <w:spacing w:line="438" w:lineRule="exact"/>
        <w:ind w:left="588" w:leftChars="0"/>
        <w:rPr>
          <w:sz w:val="24"/>
        </w:rPr>
      </w:pPr>
      <w:r>
        <w:rPr>
          <w:rFonts w:hint="eastAsia"/>
          <w:sz w:val="24"/>
          <w:lang w:val="en-US" w:eastAsia="zh-CN"/>
        </w:rPr>
        <w:t>2.5</w:t>
      </w:r>
      <w:r>
        <w:rPr>
          <w:sz w:val="24"/>
        </w:rPr>
        <w:t>符合法律法规规定的其他情形。</w:t>
      </w: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spacing w:before="2"/>
      </w:pPr>
    </w:p>
    <w:p>
      <w:pPr>
        <w:jc w:val="center"/>
        <w:rPr>
          <w:rFonts w:ascii="Times New Roman"/>
        </w:rPr>
        <w:sectPr>
          <w:headerReference r:id="rId5" w:type="default"/>
          <w:footerReference r:id="rId6" w:type="default"/>
          <w:pgSz w:w="11910" w:h="16840"/>
          <w:pgMar w:top="820" w:right="620" w:bottom="280" w:left="740" w:header="587" w:footer="0" w:gutter="0"/>
          <w:pgNumType w:fmt="decimal" w:start="1"/>
          <w:cols w:space="720" w:num="1"/>
        </w:sectPr>
      </w:pPr>
    </w:p>
    <w:p>
      <w:pPr>
        <w:pStyle w:val="6"/>
        <w:rPr>
          <w:rFonts w:ascii="Times New Roman"/>
          <w:sz w:val="20"/>
        </w:rPr>
      </w:pPr>
    </w:p>
    <w:p>
      <w:pPr>
        <w:pStyle w:val="2"/>
        <w:spacing w:before="16"/>
        <w:ind w:left="0" w:right="3396"/>
        <w:jc w:val="both"/>
      </w:pPr>
      <w:bookmarkStart w:id="2" w:name="_TOC_250000"/>
      <w:bookmarkEnd w:id="2"/>
      <w:r>
        <w:rPr>
          <w:rFonts w:hint="eastAsia"/>
          <w:lang w:eastAsia="zh-CN"/>
        </w:rPr>
        <w:t>三</w:t>
      </w:r>
      <w:r>
        <w:t>、询价响应文件格式</w:t>
      </w:r>
    </w:p>
    <w:p>
      <w:pPr>
        <w:pStyle w:val="6"/>
        <w:spacing w:before="7"/>
        <w:rPr>
          <w:b/>
          <w:sz w:val="25"/>
        </w:rPr>
      </w:pPr>
    </w:p>
    <w:p>
      <w:pPr>
        <w:pStyle w:val="3"/>
        <w:tabs>
          <w:tab w:val="left" w:pos="5076"/>
        </w:tabs>
        <w:spacing w:before="1"/>
        <w:ind w:right="117" w:firstLine="0"/>
        <w:jc w:val="center"/>
      </w:pPr>
      <w:r>
        <w:rPr>
          <w:rFonts w:hint="eastAsia"/>
          <w:spacing w:val="-2"/>
          <w:lang w:val="en-US" w:eastAsia="zh-CN"/>
        </w:rPr>
        <w:t>3</w:t>
      </w:r>
      <w:r>
        <w:rPr>
          <w:rFonts w:hint="eastAsia"/>
          <w:spacing w:val="-2"/>
          <w:lang w:val="en-US"/>
        </w:rPr>
        <w:t xml:space="preserve">.1 </w:t>
      </w:r>
      <w:r>
        <w:rPr>
          <w:spacing w:val="-2"/>
        </w:rPr>
        <w:t>报价函</w:t>
      </w:r>
    </w:p>
    <w:p>
      <w:pPr>
        <w:pStyle w:val="6"/>
        <w:spacing w:before="3"/>
        <w:rPr>
          <w:b/>
        </w:rPr>
      </w:pPr>
    </w:p>
    <w:p>
      <w:pPr>
        <w:pStyle w:val="6"/>
        <w:ind w:left="109"/>
      </w:pPr>
      <w:r>
        <w:t>致：</w:t>
      </w:r>
      <w:r>
        <w:rPr>
          <w:rFonts w:hint="eastAsia"/>
          <w:u w:val="single" w:color="auto"/>
          <w:lang w:val="en-US" w:eastAsia="zh-CN"/>
        </w:rPr>
        <w:t xml:space="preserve">  </w:t>
      </w:r>
      <w:r>
        <w:rPr>
          <w:rFonts w:hint="eastAsia"/>
          <w:u w:val="single" w:color="auto"/>
          <w:lang w:eastAsia="zh-CN"/>
        </w:rPr>
        <w:t>中共昆明市呈贡区委宣传</w:t>
      </w:r>
      <w:r>
        <w:rPr>
          <w:rFonts w:hint="eastAsia"/>
          <w:u w:val="single"/>
          <w:lang w:eastAsia="zh-CN"/>
        </w:rPr>
        <w:t>部</w:t>
      </w:r>
      <w:r>
        <w:rPr>
          <w:u w:val="single"/>
        </w:rPr>
        <w:t>：</w:t>
      </w:r>
    </w:p>
    <w:p>
      <w:pPr>
        <w:spacing w:before="3"/>
        <w:jc w:val="center"/>
        <w:rPr>
          <w:rFonts w:ascii="微软雅黑" w:hAnsi="微软雅黑" w:eastAsia="微软雅黑" w:cs="微软雅黑"/>
          <w:spacing w:val="-5"/>
          <w:sz w:val="24"/>
          <w:szCs w:val="24"/>
          <w:lang w:val="zh-CN" w:eastAsia="zh-CN" w:bidi="zh-CN"/>
        </w:rPr>
      </w:pPr>
      <w:r>
        <w:rPr>
          <w:rFonts w:hint="eastAsia"/>
          <w:lang w:val="en-US" w:eastAsia="zh-CN"/>
        </w:rPr>
        <w:t xml:space="preserve">    </w:t>
      </w:r>
      <w:r>
        <w:rPr>
          <w:rFonts w:hint="eastAsia" w:ascii="微软雅黑" w:hAnsi="微软雅黑" w:eastAsia="微软雅黑" w:cs="微软雅黑"/>
          <w:spacing w:val="-5"/>
          <w:sz w:val="24"/>
          <w:szCs w:val="24"/>
          <w:lang w:val="en-US" w:eastAsia="zh-CN" w:bidi="zh-CN"/>
        </w:rPr>
        <w:t xml:space="preserve">  </w:t>
      </w:r>
      <w:r>
        <w:rPr>
          <w:rFonts w:ascii="微软雅黑" w:hAnsi="微软雅黑" w:eastAsia="微软雅黑" w:cs="微软雅黑"/>
          <w:spacing w:val="-5"/>
          <w:sz w:val="24"/>
          <w:szCs w:val="24"/>
          <w:lang w:val="zh-CN" w:eastAsia="zh-CN" w:bidi="zh-CN"/>
        </w:rPr>
        <w:t>1、根据你方“</w:t>
      </w:r>
      <w:r>
        <w:rPr>
          <w:rFonts w:hint="eastAsia" w:ascii="微软雅黑" w:hAnsi="微软雅黑" w:eastAsia="微软雅黑" w:cs="微软雅黑"/>
          <w:spacing w:val="-5"/>
          <w:sz w:val="24"/>
          <w:szCs w:val="24"/>
          <w:lang w:val="en-US" w:eastAsia="zh-CN" w:bidi="zh-CN"/>
        </w:rPr>
        <w:t>中共呈贡区委宣传部呈贡区主次干道灯杆道旗安装购买服务询价函</w:t>
      </w:r>
      <w:r>
        <w:rPr>
          <w:rFonts w:ascii="微软雅黑" w:hAnsi="微软雅黑" w:eastAsia="微软雅黑" w:cs="微软雅黑"/>
          <w:spacing w:val="-5"/>
          <w:sz w:val="24"/>
          <w:szCs w:val="24"/>
          <w:lang w:val="zh-CN" w:eastAsia="zh-CN" w:bidi="zh-CN"/>
        </w:rPr>
        <w:t>”要求，遵照《中华人民共和国财政部令第74号——政府采购非招标采购方式管理办法》等有关规定，经研究上述</w:t>
      </w:r>
    </w:p>
    <w:p>
      <w:pPr>
        <w:spacing w:before="3"/>
        <w:jc w:val="both"/>
        <w:rPr>
          <w:rFonts w:ascii="微软雅黑" w:hAnsi="微软雅黑" w:eastAsia="微软雅黑" w:cs="微软雅黑"/>
          <w:spacing w:val="-5"/>
          <w:sz w:val="24"/>
          <w:szCs w:val="24"/>
          <w:lang w:val="zh-CN" w:eastAsia="zh-CN" w:bidi="zh-CN"/>
        </w:rPr>
      </w:pPr>
      <w:r>
        <w:rPr>
          <w:rFonts w:ascii="微软雅黑" w:hAnsi="微软雅黑" w:eastAsia="微软雅黑" w:cs="微软雅黑"/>
          <w:spacing w:val="-5"/>
          <w:sz w:val="24"/>
          <w:szCs w:val="24"/>
          <w:lang w:val="zh-CN" w:eastAsia="zh-CN" w:bidi="zh-CN"/>
        </w:rPr>
        <w:t>询价文件的各项要求后,我方按</w:t>
      </w:r>
      <w:r>
        <w:rPr>
          <w:rFonts w:hint="eastAsia" w:cs="微软雅黑"/>
          <w:spacing w:val="-5"/>
          <w:sz w:val="24"/>
          <w:szCs w:val="24"/>
          <w:lang w:val="zh-CN" w:eastAsia="zh-CN" w:bidi="zh-CN"/>
        </w:rPr>
        <w:t>每颗灯杆道旗的安装拆除服务费</w:t>
      </w:r>
      <w:r>
        <w:rPr>
          <w:rFonts w:ascii="微软雅黑" w:hAnsi="微软雅黑" w:eastAsia="微软雅黑" w:cs="微软雅黑"/>
          <w:spacing w:val="-5"/>
          <w:sz w:val="24"/>
          <w:szCs w:val="24"/>
          <w:lang w:val="zh-CN" w:eastAsia="zh-CN" w:bidi="zh-CN"/>
        </w:rPr>
        <w:t>为：大写：</w:t>
      </w:r>
      <w:r>
        <w:rPr>
          <w:rFonts w:hint="eastAsia" w:cs="微软雅黑"/>
          <w:spacing w:val="-5"/>
          <w:sz w:val="24"/>
          <w:szCs w:val="24"/>
          <w:lang w:val="en-US" w:eastAsia="zh-CN" w:bidi="zh-CN"/>
        </w:rPr>
        <w:t xml:space="preserve">          </w:t>
      </w:r>
      <w:r>
        <w:rPr>
          <w:rFonts w:ascii="微软雅黑" w:hAnsi="微软雅黑" w:eastAsia="微软雅黑" w:cs="微软雅黑"/>
          <w:spacing w:val="-5"/>
          <w:sz w:val="24"/>
          <w:szCs w:val="24"/>
          <w:lang w:val="zh-CN" w:eastAsia="zh-CN" w:bidi="zh-CN"/>
        </w:rPr>
        <w:t>人民币</w:t>
      </w:r>
      <w:r>
        <w:rPr>
          <w:rFonts w:hint="eastAsia" w:cs="微软雅黑"/>
          <w:spacing w:val="-5"/>
          <w:sz w:val="24"/>
          <w:szCs w:val="24"/>
          <w:lang w:val="en-US" w:eastAsia="zh-CN" w:bidi="zh-CN"/>
        </w:rPr>
        <w:t>/套</w:t>
      </w:r>
      <w:r>
        <w:rPr>
          <w:rFonts w:ascii="微软雅黑" w:hAnsi="微软雅黑" w:eastAsia="微软雅黑" w:cs="微软雅黑"/>
          <w:spacing w:val="-5"/>
          <w:sz w:val="24"/>
          <w:szCs w:val="24"/>
          <w:lang w:val="zh-CN" w:eastAsia="zh-CN" w:bidi="zh-CN"/>
        </w:rPr>
        <w:tab/>
      </w:r>
      <w:r>
        <w:rPr>
          <w:rFonts w:ascii="微软雅黑" w:hAnsi="微软雅黑" w:eastAsia="微软雅黑" w:cs="微软雅黑"/>
          <w:spacing w:val="-5"/>
          <w:sz w:val="24"/>
          <w:szCs w:val="24"/>
          <w:lang w:val="zh-CN" w:eastAsia="zh-CN" w:bidi="zh-CN"/>
        </w:rPr>
        <w:t>（小写：</w:t>
      </w:r>
      <w:r>
        <w:rPr>
          <w:rFonts w:hint="eastAsia" w:ascii="微软雅黑" w:hAnsi="微软雅黑" w:eastAsia="微软雅黑" w:cs="微软雅黑"/>
          <w:spacing w:val="-5"/>
          <w:sz w:val="24"/>
          <w:szCs w:val="24"/>
          <w:lang w:val="zh-CN" w:eastAsia="zh-CN" w:bidi="zh-CN"/>
        </w:rPr>
        <w:t>¥</w:t>
      </w:r>
      <w:r>
        <w:rPr>
          <w:rFonts w:hint="eastAsia" w:ascii="微软雅黑" w:hAnsi="微软雅黑" w:eastAsia="微软雅黑" w:cs="微软雅黑"/>
          <w:spacing w:val="-5"/>
          <w:sz w:val="24"/>
          <w:szCs w:val="24"/>
          <w:lang w:val="zh-CN" w:eastAsia="zh-CN" w:bidi="zh-CN"/>
        </w:rPr>
        <w:tab/>
      </w:r>
      <w:r>
        <w:rPr>
          <w:rFonts w:hint="eastAsia" w:cs="微软雅黑"/>
          <w:spacing w:val="-5"/>
          <w:sz w:val="24"/>
          <w:szCs w:val="24"/>
          <w:lang w:val="en-US" w:eastAsia="zh-CN" w:bidi="zh-CN"/>
        </w:rPr>
        <w:t xml:space="preserve">   </w:t>
      </w:r>
      <w:r>
        <w:rPr>
          <w:rFonts w:ascii="微软雅黑" w:hAnsi="微软雅黑" w:eastAsia="微软雅黑" w:cs="微软雅黑"/>
          <w:spacing w:val="-5"/>
          <w:sz w:val="24"/>
          <w:szCs w:val="24"/>
          <w:lang w:val="zh-CN" w:eastAsia="zh-CN" w:bidi="zh-CN"/>
        </w:rPr>
        <w:t>）。</w:t>
      </w:r>
    </w:p>
    <w:p>
      <w:pPr>
        <w:pStyle w:val="6"/>
        <w:spacing w:before="78" w:line="280" w:lineRule="auto"/>
        <w:ind w:left="109" w:right="107" w:firstLine="480"/>
        <w:rPr>
          <w:rFonts w:ascii="微软雅黑" w:hAnsi="微软雅黑" w:eastAsia="微软雅黑" w:cs="微软雅黑"/>
          <w:spacing w:val="-5"/>
          <w:sz w:val="24"/>
          <w:szCs w:val="24"/>
          <w:lang w:val="zh-CN" w:eastAsia="zh-CN" w:bidi="zh-CN"/>
        </w:rPr>
      </w:pPr>
      <w:r>
        <w:rPr>
          <w:rFonts w:ascii="微软雅黑" w:hAnsi="微软雅黑" w:eastAsia="微软雅黑" w:cs="微软雅黑"/>
          <w:spacing w:val="-5"/>
          <w:sz w:val="24"/>
          <w:szCs w:val="24"/>
          <w:lang w:val="zh-CN" w:eastAsia="zh-CN" w:bidi="zh-CN"/>
        </w:rPr>
        <w:t>2、我方已详细审核并确认全部询价响应文件及有关附件，包括询价文件修改书（如果有的话），充分理解询价响应文件报价不得低于企业个别成本有关规定。我方经成本核算，在保证服务和质量的前提下，所填报的询价响应文件报价不低于企业个别成本。</w:t>
      </w:r>
    </w:p>
    <w:p>
      <w:pPr>
        <w:pStyle w:val="6"/>
        <w:tabs>
          <w:tab w:val="left" w:pos="10165"/>
        </w:tabs>
        <w:spacing w:line="433" w:lineRule="exact"/>
        <w:ind w:left="589"/>
        <w:rPr>
          <w:rFonts w:ascii="微软雅黑" w:hAnsi="微软雅黑" w:eastAsia="微软雅黑" w:cs="微软雅黑"/>
          <w:spacing w:val="-5"/>
          <w:sz w:val="24"/>
          <w:szCs w:val="24"/>
          <w:lang w:val="zh-CN" w:eastAsia="zh-CN" w:bidi="zh-CN"/>
        </w:rPr>
      </w:pPr>
      <w:r>
        <w:rPr>
          <w:rFonts w:ascii="微软雅黑" w:hAnsi="微软雅黑" w:eastAsia="微软雅黑" w:cs="微软雅黑"/>
          <w:spacing w:val="-5"/>
          <w:sz w:val="24"/>
          <w:szCs w:val="24"/>
          <w:lang w:val="zh-CN" w:eastAsia="zh-CN" w:bidi="zh-CN"/>
        </w:rPr>
        <w:t>3、我方同意向贵方提供贵方可能另外要求的与其询价响应文件有关的任何证据或资料。</w:t>
      </w:r>
    </w:p>
    <w:p>
      <w:pPr>
        <w:pStyle w:val="6"/>
        <w:spacing w:before="57" w:line="271" w:lineRule="auto"/>
        <w:ind w:left="109" w:right="224" w:firstLine="480"/>
        <w:rPr>
          <w:spacing w:val="-10"/>
        </w:rPr>
      </w:pPr>
      <w:r>
        <w:rPr>
          <w:rFonts w:ascii="微软雅黑" w:hAnsi="微软雅黑" w:eastAsia="微软雅黑" w:cs="微软雅黑"/>
          <w:spacing w:val="-5"/>
          <w:sz w:val="24"/>
          <w:szCs w:val="24"/>
          <w:lang w:val="zh-CN" w:eastAsia="zh-CN" w:bidi="zh-CN"/>
        </w:rPr>
        <w:t>4、一旦我方成交，我方保证按照询价文件的规定，</w:t>
      </w:r>
      <w:r>
        <w:rPr>
          <w:spacing w:val="-10"/>
        </w:rPr>
        <w:t>严格履行合同的责任和义务,按约定时间开展</w:t>
      </w:r>
      <w:r>
        <w:rPr>
          <w:rFonts w:hint="eastAsia"/>
          <w:spacing w:val="-10"/>
        </w:rPr>
        <w:t>系统建设</w:t>
      </w:r>
      <w:r>
        <w:rPr>
          <w:spacing w:val="-10"/>
        </w:rPr>
        <w:t>任务。</w:t>
      </w:r>
    </w:p>
    <w:p>
      <w:pPr>
        <w:pStyle w:val="6"/>
        <w:spacing w:before="1" w:line="271" w:lineRule="auto"/>
        <w:ind w:left="109" w:right="224" w:firstLine="480"/>
      </w:pPr>
      <w:r>
        <w:t>5、一旦我方成交，我方同意</w:t>
      </w:r>
      <w:r>
        <w:rPr>
          <w:rFonts w:hint="eastAsia"/>
        </w:rPr>
        <w:t>贵</w:t>
      </w:r>
      <w:r>
        <w:rPr>
          <w:rFonts w:hint="eastAsia"/>
          <w:lang w:eastAsia="zh-CN"/>
        </w:rPr>
        <w:t>单位</w:t>
      </w:r>
      <w:r>
        <w:rPr>
          <w:rFonts w:hint="eastAsia"/>
          <w:lang w:val="en-US" w:eastAsia="zh-CN"/>
        </w:rPr>
        <w:t>呈贡区主次干道灯杆道旗安装购买服务</w:t>
      </w:r>
      <w:r>
        <w:t>报价与询价响应文件报价一致，开展时间与方式由双方商定。</w:t>
      </w:r>
    </w:p>
    <w:p>
      <w:pPr>
        <w:pStyle w:val="6"/>
        <w:spacing w:before="1"/>
        <w:ind w:left="589"/>
      </w:pPr>
      <w:r>
        <w:t>7、一旦我方成交，我方保证检测任务完成的科学性、规范性和公正性。</w:t>
      </w:r>
    </w:p>
    <w:p>
      <w:pPr>
        <w:pStyle w:val="6"/>
        <w:tabs>
          <w:tab w:val="left" w:pos="2629"/>
          <w:tab w:val="left" w:pos="3469"/>
          <w:tab w:val="left" w:pos="4208"/>
          <w:tab w:val="left" w:pos="8091"/>
        </w:tabs>
        <w:spacing w:before="56" w:line="324" w:lineRule="auto"/>
        <w:ind w:left="589" w:right="2453"/>
      </w:pPr>
      <w:r>
        <w:rPr>
          <w:rFonts w:ascii="微软雅黑" w:hAnsi="微软雅黑" w:eastAsia="微软雅黑" w:cs="微软雅黑"/>
          <w:sz w:val="24"/>
          <w:szCs w:val="24"/>
          <w:lang w:val="zh-CN" w:eastAsia="zh-CN" w:bidi="zh-CN"/>
        </w:rPr>
        <w:pict>
          <v:line id="直线 3" o:spid="_x0000_s1030" o:spt="20" style="position:absolute;left:0pt;margin-left:132.4pt;margin-top:50.65pt;height:0.05pt;width:309pt;mso-position-horizontal-relative:page;z-index:-251657216;mso-width-relative:page;mso-height-relative:page;" fillcolor="#FFFFFF" filled="f" o:preferrelative="t" stroked="t" coordsize="21600,21600">
            <v:path arrowok="t"/>
            <v:fill on="f" color2="#FFFFFF" focussize="0,0"/>
            <v:stroke weight="0.6pt" color="#000000" color2="#FFFFFF" miterlimit="2"/>
            <v:imagedata gain="65536f" blacklevel="0f" gamma="0" o:title=""/>
            <o:lock v:ext="edit" position="f" selection="f" grouping="f" rotation="f" cropping="f" text="f" aspectratio="f"/>
          </v:line>
        </w:pict>
      </w:r>
      <w:r>
        <w:t>8、其他补充说明：</w:t>
      </w:r>
      <w:r>
        <w:rPr>
          <w:u w:val="single"/>
        </w:rPr>
        <w:tab/>
      </w:r>
      <w:r>
        <w:rPr>
          <w:u w:val="single"/>
        </w:rPr>
        <w:tab/>
      </w:r>
      <w:r>
        <w:rPr>
          <w:u w:val="none"/>
        </w:rPr>
        <w:tab/>
      </w:r>
      <w:r>
        <w:t>供应商：</w:t>
      </w:r>
      <w:r>
        <w:tab/>
      </w:r>
      <w:r>
        <w:tab/>
      </w:r>
      <w:r>
        <w:t>（盖章）</w:t>
      </w:r>
    </w:p>
    <w:p>
      <w:pPr>
        <w:pStyle w:val="6"/>
        <w:tabs>
          <w:tab w:val="left" w:pos="8107"/>
        </w:tabs>
        <w:spacing w:before="6"/>
        <w:ind w:firstLine="476" w:firstLineChars="200"/>
      </w:pPr>
      <w:r>
        <w:rPr>
          <w:spacing w:val="-1"/>
        </w:rPr>
        <w:t>单</w:t>
      </w:r>
      <w:r>
        <w:t>位地址</w:t>
      </w:r>
    </w:p>
    <w:p>
      <w:pPr>
        <w:pStyle w:val="6"/>
        <w:tabs>
          <w:tab w:val="left" w:pos="2269"/>
          <w:tab w:val="left" w:pos="3469"/>
          <w:tab w:val="left" w:pos="4669"/>
          <w:tab w:val="left" w:pos="5869"/>
          <w:tab w:val="left" w:pos="6049"/>
          <w:tab w:val="left" w:pos="8028"/>
          <w:tab w:val="left" w:pos="8748"/>
        </w:tabs>
        <w:spacing w:before="136" w:line="326" w:lineRule="auto"/>
        <w:ind w:left="480" w:leftChars="218" w:right="1795"/>
        <w:sectPr>
          <w:pgSz w:w="11910" w:h="16840"/>
          <w:pgMar w:top="820" w:right="620" w:bottom="280" w:left="740" w:header="587" w:footer="0" w:gutter="0"/>
          <w:pgNumType w:fmt="decimal"/>
          <w:cols w:space="720" w:num="1"/>
        </w:sectPr>
      </w:pPr>
      <w:r>
        <w:t>法定代表人或其委托代理人：</w:t>
      </w:r>
      <w:r>
        <w:rPr>
          <w:u w:val="single"/>
        </w:rPr>
        <w:tab/>
      </w:r>
      <w:r>
        <w:rPr>
          <w:u w:val="single"/>
        </w:rPr>
        <w:tab/>
      </w:r>
      <w:r>
        <w:rPr>
          <w:u w:val="single"/>
        </w:rPr>
        <w:t>（签字或盖章）</w:t>
      </w:r>
      <w:r>
        <w:rPr>
          <w:u w:val="single"/>
        </w:rPr>
        <w:tab/>
      </w:r>
      <w:r>
        <w:t xml:space="preserve">       邮政编码：</w:t>
      </w:r>
      <w:r>
        <w:rPr>
          <w:u w:val="single"/>
        </w:rPr>
        <w:tab/>
      </w:r>
      <w:r>
        <w:rPr>
          <w:u w:val="single"/>
        </w:rPr>
        <w:tab/>
      </w:r>
      <w:r>
        <w:t>电话：</w:t>
      </w:r>
      <w:r>
        <w:rPr>
          <w:u w:val="single"/>
        </w:rPr>
        <w:tab/>
      </w:r>
      <w:r>
        <w:rPr>
          <w:u w:val="single"/>
        </w:rPr>
        <w:tab/>
      </w:r>
      <w:r>
        <w:rPr>
          <w:u w:val="single"/>
        </w:rPr>
        <w:tab/>
      </w:r>
      <w:r>
        <w:rPr>
          <w:spacing w:val="-1"/>
        </w:rPr>
        <w:t>传</w:t>
      </w:r>
      <w:r>
        <w:t>真：</w:t>
      </w:r>
      <w:r>
        <w:rPr>
          <w:rFonts w:ascii="Times New Roman" w:eastAsia="Times New Roman"/>
          <w:u w:val="single"/>
        </w:rPr>
        <w:tab/>
      </w:r>
      <w:r>
        <w:rPr>
          <w:rFonts w:ascii="Times New Roman" w:eastAsia="Times New Roman"/>
          <w:u w:val="single"/>
        </w:rPr>
        <w:tab/>
      </w:r>
      <w:r>
        <w:t>日期：</w:t>
      </w:r>
      <w:r>
        <w:rPr>
          <w:u w:val="single"/>
        </w:rPr>
        <w:tab/>
      </w:r>
      <w:r>
        <w:t>年</w:t>
      </w:r>
      <w:r>
        <w:rPr>
          <w:u w:val="single"/>
        </w:rPr>
        <w:tab/>
      </w:r>
      <w:r>
        <w:t>月</w:t>
      </w:r>
      <w:r>
        <w:rPr>
          <w:u w:val="single"/>
        </w:rPr>
        <w:tab/>
      </w:r>
    </w:p>
    <w:p>
      <w:pPr>
        <w:pStyle w:val="6"/>
        <w:spacing w:before="9"/>
        <w:rPr>
          <w:sz w:val="21"/>
        </w:rPr>
      </w:pPr>
    </w:p>
    <w:p>
      <w:pPr>
        <w:pStyle w:val="3"/>
        <w:tabs>
          <w:tab w:val="left" w:pos="4060"/>
        </w:tabs>
        <w:ind w:left="3565" w:firstLine="0"/>
      </w:pPr>
      <w:r>
        <w:rPr>
          <w:rFonts w:hint="eastAsia"/>
          <w:spacing w:val="-3"/>
          <w:lang w:val="en-US" w:eastAsia="zh-CN"/>
        </w:rPr>
        <w:t>3</w:t>
      </w:r>
      <w:r>
        <w:rPr>
          <w:rFonts w:hint="eastAsia"/>
          <w:spacing w:val="-3"/>
          <w:lang w:val="en-US"/>
        </w:rPr>
        <w:t xml:space="preserve">.2 </w:t>
      </w:r>
      <w:r>
        <w:rPr>
          <w:spacing w:val="-3"/>
        </w:rPr>
        <w:t>法定代表人授权委托书</w:t>
      </w:r>
    </w:p>
    <w:p>
      <w:pPr>
        <w:pStyle w:val="6"/>
        <w:spacing w:before="2"/>
        <w:rPr>
          <w:b/>
          <w:sz w:val="34"/>
        </w:rPr>
      </w:pPr>
    </w:p>
    <w:p>
      <w:pPr>
        <w:pStyle w:val="6"/>
        <w:tabs>
          <w:tab w:val="left" w:pos="2480"/>
          <w:tab w:val="left" w:pos="4633"/>
          <w:tab w:val="left" w:pos="7175"/>
        </w:tabs>
        <w:spacing w:line="345" w:lineRule="auto"/>
        <w:ind w:left="109" w:right="102" w:firstLine="645"/>
      </w:pPr>
      <w:r>
        <w:t>本授权书声明：</w:t>
      </w:r>
      <w:r>
        <w:rPr>
          <w:u w:val="single"/>
        </w:rPr>
        <w:tab/>
      </w:r>
      <w:r>
        <w:t>（单位名称）的</w:t>
      </w:r>
      <w:r>
        <w:rPr>
          <w:u w:val="single"/>
        </w:rPr>
        <w:tab/>
      </w:r>
      <w:r>
        <w:t>（法定代表人姓名、职务）代表本单位授权</w:t>
      </w:r>
      <w:r>
        <w:rPr>
          <w:u w:val="single"/>
        </w:rPr>
        <w:tab/>
      </w:r>
      <w:r>
        <w:t>（被授权人的姓名</w:t>
      </w:r>
      <w:r>
        <w:rPr>
          <w:spacing w:val="-29"/>
        </w:rPr>
        <w:t>、</w:t>
      </w:r>
      <w:r>
        <w:t>职务</w:t>
      </w:r>
      <w:r>
        <w:rPr>
          <w:spacing w:val="-29"/>
        </w:rPr>
        <w:t>）</w:t>
      </w:r>
      <w:r>
        <w:t>为本单位的合法代理人</w:t>
      </w:r>
      <w:r>
        <w:rPr>
          <w:spacing w:val="-29"/>
        </w:rPr>
        <w:t>，</w:t>
      </w:r>
      <w:r>
        <w:t>参加</w:t>
      </w:r>
      <w:r>
        <w:rPr>
          <w:rFonts w:hint="eastAsia"/>
          <w:lang w:val="en-US" w:eastAsia="zh-CN"/>
        </w:rPr>
        <w:t>呈贡区主次干道</w:t>
      </w:r>
      <w:r>
        <w:rPr>
          <w:rFonts w:hint="eastAsia"/>
          <w:lang w:val="en-US"/>
        </w:rPr>
        <w:t>灯杆道旗安装购买服务</w:t>
      </w:r>
      <w:r>
        <w:rPr>
          <w:rFonts w:hint="eastAsia"/>
          <w:lang w:val="en-US" w:eastAsia="zh-CN"/>
        </w:rPr>
        <w:t>询价</w:t>
      </w:r>
      <w:r>
        <w:t>响应文件的签署</w:t>
      </w:r>
      <w:r>
        <w:rPr>
          <w:spacing w:val="-48"/>
        </w:rPr>
        <w:t>、</w:t>
      </w:r>
      <w:r>
        <w:t>澄清</w:t>
      </w:r>
      <w:r>
        <w:rPr>
          <w:spacing w:val="-51"/>
        </w:rPr>
        <w:t>、</w:t>
      </w:r>
      <w:r>
        <w:t>补正</w:t>
      </w:r>
      <w:r>
        <w:rPr>
          <w:spacing w:val="-48"/>
        </w:rPr>
        <w:t>、</w:t>
      </w:r>
      <w:r>
        <w:t>谈判</w:t>
      </w:r>
      <w:r>
        <w:rPr>
          <w:spacing w:val="-51"/>
        </w:rPr>
        <w:t>、</w:t>
      </w:r>
      <w:r>
        <w:t>合同执行等活动</w:t>
      </w:r>
      <w:r>
        <w:rPr>
          <w:spacing w:val="-11"/>
        </w:rPr>
        <w:t xml:space="preserve">， </w:t>
      </w:r>
      <w:r>
        <w:t>其可以以本公司名义处理一切与之有关的事务。</w:t>
      </w:r>
    </w:p>
    <w:p>
      <w:pPr>
        <w:pStyle w:val="6"/>
        <w:spacing w:line="438" w:lineRule="exact"/>
        <w:ind w:left="755"/>
      </w:pPr>
      <w:r>
        <w:t>特此声明。</w:t>
      </w:r>
    </w:p>
    <w:p>
      <w:pPr>
        <w:pStyle w:val="6"/>
        <w:rPr>
          <w:sz w:val="45"/>
        </w:rPr>
      </w:pPr>
    </w:p>
    <w:p>
      <w:pPr>
        <w:pStyle w:val="6"/>
        <w:tabs>
          <w:tab w:val="left" w:pos="6454"/>
        </w:tabs>
        <w:ind w:left="755"/>
        <w:rPr>
          <w:rFonts w:ascii="Times New Roman" w:eastAsia="Times New Roman"/>
        </w:rPr>
      </w:pPr>
      <w:r>
        <w:t>代理人（被授权人）签字（或盖章</w:t>
      </w:r>
      <w:r>
        <w:rPr>
          <w:spacing w:val="-120"/>
        </w:rPr>
        <w:t>）</w:t>
      </w:r>
      <w:r>
        <w:rPr>
          <w:spacing w:val="-1"/>
        </w:rPr>
        <w:t>：</w:t>
      </w:r>
      <w:r>
        <w:rPr>
          <w:rFonts w:ascii="Times New Roman" w:eastAsia="Times New Roman"/>
          <w:u w:val="single"/>
        </w:rPr>
        <w:tab/>
      </w:r>
    </w:p>
    <w:p>
      <w:pPr>
        <w:pStyle w:val="6"/>
        <w:spacing w:before="7"/>
        <w:rPr>
          <w:rFonts w:ascii="Times New Roman"/>
          <w:sz w:val="13"/>
        </w:rPr>
      </w:pPr>
    </w:p>
    <w:p>
      <w:pPr>
        <w:pStyle w:val="6"/>
        <w:tabs>
          <w:tab w:val="left" w:pos="6454"/>
        </w:tabs>
        <w:spacing w:before="38"/>
        <w:ind w:left="755"/>
        <w:rPr>
          <w:rFonts w:ascii="Times New Roman" w:eastAsia="Times New Roman"/>
        </w:rPr>
      </w:pPr>
      <w:r>
        <w:rPr>
          <w:spacing w:val="-1"/>
        </w:rPr>
        <w:t>职</w:t>
      </w:r>
      <w:r>
        <w:t>务：</w:t>
      </w:r>
      <w:r>
        <w:rPr>
          <w:rFonts w:ascii="Times New Roman" w:eastAsia="Times New Roman"/>
          <w:u w:val="single"/>
        </w:rPr>
        <w:tab/>
      </w:r>
    </w:p>
    <w:p>
      <w:pPr>
        <w:pStyle w:val="6"/>
        <w:spacing w:before="6"/>
        <w:rPr>
          <w:rFonts w:ascii="Times New Roman"/>
          <w:sz w:val="13"/>
        </w:rPr>
      </w:pPr>
    </w:p>
    <w:p>
      <w:pPr>
        <w:pStyle w:val="6"/>
        <w:tabs>
          <w:tab w:val="left" w:pos="6454"/>
        </w:tabs>
        <w:spacing w:before="38"/>
        <w:ind w:left="755"/>
        <w:rPr>
          <w:rFonts w:ascii="Times New Roman" w:eastAsia="Times New Roman"/>
        </w:rPr>
      </w:pPr>
      <w:r>
        <w:rPr>
          <w:spacing w:val="-1"/>
        </w:rPr>
        <w:t>身</w:t>
      </w:r>
      <w:r>
        <w:t>份证号码：</w:t>
      </w:r>
      <w:r>
        <w:rPr>
          <w:rFonts w:ascii="Times New Roman" w:eastAsia="Times New Roman"/>
          <w:u w:val="single"/>
        </w:rPr>
        <w:tab/>
      </w:r>
    </w:p>
    <w:p>
      <w:pPr>
        <w:pStyle w:val="6"/>
        <w:spacing w:before="6"/>
        <w:rPr>
          <w:rFonts w:ascii="Times New Roman"/>
          <w:sz w:val="13"/>
        </w:rPr>
      </w:pPr>
    </w:p>
    <w:p>
      <w:pPr>
        <w:pStyle w:val="6"/>
        <w:tabs>
          <w:tab w:val="left" w:pos="6454"/>
        </w:tabs>
        <w:spacing w:before="38" w:line="362" w:lineRule="exact"/>
        <w:ind w:left="755"/>
        <w:rPr>
          <w:rFonts w:ascii="Times New Roman" w:eastAsia="Times New Roman"/>
        </w:rPr>
      </w:pPr>
      <w:r>
        <w:t>法定代表人签字（或盖章</w:t>
      </w:r>
      <w:r>
        <w:rPr>
          <w:spacing w:val="-120"/>
        </w:rPr>
        <w:t>）</w:t>
      </w:r>
      <w:r>
        <w:rPr>
          <w:spacing w:val="-1"/>
        </w:rPr>
        <w:t>：</w:t>
      </w:r>
      <w:r>
        <w:rPr>
          <w:rFonts w:ascii="Times New Roman" w:eastAsia="Times New Roman"/>
          <w:u w:val="single"/>
        </w:rPr>
        <w:tab/>
      </w:r>
    </w:p>
    <w:p>
      <w:pPr>
        <w:pStyle w:val="6"/>
        <w:tabs>
          <w:tab w:val="left" w:pos="6375"/>
        </w:tabs>
        <w:spacing w:before="101"/>
        <w:ind w:left="755"/>
        <w:rPr>
          <w:rFonts w:ascii="Times New Roman" w:eastAsia="Times New Roman"/>
        </w:rPr>
      </w:pPr>
      <w:r>
        <w:t>询价响应单位名称(加盖公章)：</w:t>
      </w:r>
      <w:r>
        <w:rPr>
          <w:rFonts w:ascii="Times New Roman" w:eastAsia="Times New Roman"/>
          <w:u w:val="single"/>
        </w:rPr>
        <w:tab/>
      </w:r>
    </w:p>
    <w:p>
      <w:pPr>
        <w:pStyle w:val="6"/>
        <w:spacing w:before="7"/>
        <w:rPr>
          <w:rFonts w:ascii="Times New Roman"/>
          <w:sz w:val="13"/>
        </w:rPr>
      </w:pPr>
    </w:p>
    <w:p>
      <w:pPr>
        <w:pStyle w:val="6"/>
        <w:tabs>
          <w:tab w:val="left" w:pos="6454"/>
        </w:tabs>
        <w:spacing w:before="37"/>
        <w:ind w:left="755"/>
        <w:rPr>
          <w:rFonts w:ascii="Times New Roman" w:eastAsia="Times New Roman"/>
        </w:rPr>
      </w:pPr>
      <w:r>
        <w:rPr>
          <w:spacing w:val="-1"/>
        </w:rPr>
        <w:t>地</w:t>
      </w:r>
      <w:r>
        <w:t>址：</w:t>
      </w:r>
      <w:r>
        <w:rPr>
          <w:rFonts w:ascii="Times New Roman" w:eastAsia="Times New Roman"/>
          <w:u w:val="single"/>
        </w:rPr>
        <w:tab/>
      </w:r>
    </w:p>
    <w:p>
      <w:pPr>
        <w:pStyle w:val="6"/>
        <w:spacing w:before="7"/>
        <w:rPr>
          <w:rFonts w:ascii="Times New Roman"/>
          <w:sz w:val="13"/>
        </w:rPr>
      </w:pPr>
    </w:p>
    <w:p>
      <w:pPr>
        <w:pStyle w:val="6"/>
        <w:tabs>
          <w:tab w:val="left" w:pos="6454"/>
        </w:tabs>
        <w:spacing w:before="37"/>
        <w:ind w:left="755"/>
        <w:rPr>
          <w:rFonts w:ascii="Times New Roman" w:eastAsia="Times New Roman"/>
        </w:rPr>
      </w:pPr>
      <w:r>
        <w:rPr>
          <w:spacing w:val="-1"/>
        </w:rPr>
        <w:t>日</w:t>
      </w:r>
      <w:r>
        <w:t>期：</w:t>
      </w:r>
      <w:r>
        <w:rPr>
          <w:rFonts w:ascii="Times New Roman" w:eastAsia="Times New Roman"/>
          <w:u w:val="single"/>
        </w:rPr>
        <w:tab/>
      </w:r>
    </w:p>
    <w:p>
      <w:pPr>
        <w:rPr>
          <w:rFonts w:ascii="Times New Roman" w:eastAsia="Times New Roman"/>
        </w:rPr>
        <w:sectPr>
          <w:pgSz w:w="11910" w:h="16840"/>
          <w:pgMar w:top="820" w:right="620" w:bottom="280" w:left="740" w:header="587" w:footer="0" w:gutter="0"/>
          <w:pgNumType w:fmt="decimal"/>
          <w:cols w:space="720" w:num="1"/>
        </w:sectPr>
      </w:pPr>
    </w:p>
    <w:p>
      <w:pPr>
        <w:pStyle w:val="6"/>
        <w:spacing w:before="10"/>
        <w:rPr>
          <w:rFonts w:ascii="Times New Roman"/>
          <w:sz w:val="2"/>
        </w:rPr>
      </w:pPr>
    </w:p>
    <w:p>
      <w:pPr>
        <w:pStyle w:val="6"/>
        <w:spacing w:line="20" w:lineRule="exact"/>
        <w:ind w:left="105"/>
        <w:rPr>
          <w:rFonts w:ascii="Times New Roman"/>
          <w:sz w:val="2"/>
        </w:rPr>
      </w:pPr>
      <w:r>
        <w:rPr>
          <w:rFonts w:ascii="Times New Roman" w:hAnsi="微软雅黑" w:eastAsia="微软雅黑" w:cs="微软雅黑"/>
          <w:sz w:val="2"/>
          <w:szCs w:val="24"/>
          <w:lang w:val="zh-CN" w:eastAsia="zh-CN" w:bidi="zh-CN"/>
        </w:rPr>
        <w:pict>
          <v:group id="组合 4" o:spid="_x0000_s1031" o:spt="203" style="height:0.5pt;width:510.3pt;" coordsize="10206,0">
            <o:lock v:ext="edit" position="f" selection="f" grouping="f" rotation="f" cropping="f" text="f" aspectratio="f"/>
            <v:line id="直线 5" o:spid="_x0000_s1032" o:spt="20" style="position:absolute;left:0;top:0;height:0;width:10206;" fillcolor="#FFFFFF" filled="f" o:preferrelative="t" stroked="t" coordsize="21600,21600">
              <v:path arrowok="t"/>
              <v:fill on="f" color2="#FFFFFF" focussize="0,0"/>
              <v:stroke weight="0.48pt" color="#000000" color2="#FFFFFF" joinstyle="round"/>
              <v:imagedata gain="65536f" blacklevel="0f" gamma="0" o:title=""/>
              <o:lock v:ext="edit" position="f" selection="f" grouping="f" rotation="f" cropping="f" text="f" aspectratio="f"/>
            </v:line>
            <w10:wrap type="none"/>
            <w10:anchorlock/>
          </v:group>
        </w:pict>
      </w:r>
    </w:p>
    <w:p>
      <w:pPr>
        <w:pStyle w:val="3"/>
        <w:tabs>
          <w:tab w:val="left" w:pos="4761"/>
        </w:tabs>
        <w:spacing w:before="71"/>
        <w:ind w:left="4265" w:firstLine="0"/>
      </w:pPr>
      <w:bookmarkStart w:id="3" w:name="4.3证明文件等"/>
      <w:bookmarkEnd w:id="3"/>
      <w:r>
        <w:rPr>
          <w:rFonts w:hint="eastAsia"/>
          <w:spacing w:val="-2"/>
          <w:lang w:val="en-US" w:eastAsia="zh-CN"/>
        </w:rPr>
        <w:t>3</w:t>
      </w:r>
      <w:r>
        <w:rPr>
          <w:rFonts w:hint="eastAsia"/>
          <w:spacing w:val="-2"/>
          <w:lang w:val="en-US"/>
        </w:rPr>
        <w:t xml:space="preserve">.3 </w:t>
      </w:r>
      <w:r>
        <w:rPr>
          <w:spacing w:val="-2"/>
        </w:rPr>
        <w:t>证明文件等</w:t>
      </w:r>
    </w:p>
    <w:p>
      <w:pPr>
        <w:pStyle w:val="6"/>
        <w:spacing w:before="9"/>
        <w:rPr>
          <w:b/>
          <w:sz w:val="22"/>
        </w:rPr>
      </w:pPr>
    </w:p>
    <w:p>
      <w:pPr>
        <w:pStyle w:val="6"/>
        <w:spacing w:before="1"/>
        <w:ind w:left="229"/>
      </w:pPr>
      <w:r>
        <w:t>询价响应单位应按本文件要求提供以下材料的复印件或等效件：</w:t>
      </w:r>
    </w:p>
    <w:p>
      <w:pPr>
        <w:widowControl w:val="0"/>
        <w:wordWrap/>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法人授权书、法人代表和被授权人身份证复印件、营业执照副本、组织机构代码证副本、税务登记证（国、地税副本）</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w:t>
      </w:r>
    </w:p>
    <w:p>
      <w:pPr>
        <w:pStyle w:val="4"/>
      </w:pPr>
      <w:r>
        <w:t>备注：询价响应单位应确保证明文件的真实性、合法性、有效性，否则后果自负。</w:t>
      </w: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rPr>
          <w:b/>
          <w:sz w:val="20"/>
        </w:rPr>
      </w:pPr>
    </w:p>
    <w:p>
      <w:pPr>
        <w:pStyle w:val="6"/>
        <w:spacing w:before="7"/>
        <w:rPr>
          <w:b/>
          <w:sz w:val="19"/>
        </w:rPr>
      </w:pPr>
    </w:p>
    <w:sectPr>
      <w:headerReference r:id="rId7" w:type="default"/>
      <w:pgSz w:w="11910" w:h="16840"/>
      <w:pgMar w:top="780" w:right="620" w:bottom="280" w:left="740" w:header="586" w:footer="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auto"/>
    <w:pitch w:val="default"/>
    <w:sig w:usb0="E00002FF" w:usb1="40000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ascii="微软雅黑" w:hAnsi="微软雅黑" w:eastAsia="微软雅黑" w:cs="微软雅黑"/>
        <w:sz w:val="18"/>
        <w:szCs w:val="22"/>
        <w:lang w:val="zh-CN" w:eastAsia="zh-CN" w:bidi="zh-CN"/>
      </w:rPr>
      <w:pict>
        <v:rect id="文本框 1" o:spid="_x0000_s2051" o:spt="1" style="position:absolute;left:0pt;margin-top:0pt;height:144pt;width:144pt;mso-position-horizontal:outside;mso-position-horizontal-relative:margin;mso-wrap-style:none;z-index:251661312;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pStyle w:val="8"/>
                  <w:rPr>
                    <w:rFonts w:hint="eastAsia" w:eastAsia="微软雅黑"/>
                    <w:lang w:eastAsia="zh-CN"/>
                  </w:rPr>
                </w:pPr>
                <w:r>
                  <w:rPr>
                    <w:rFonts w:hint="eastAsia"/>
                    <w:lang w:eastAsia="zh-CN"/>
                  </w:rPr>
                  <w:t xml:space="preserve"> </w:t>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ascii="微软雅黑" w:hAnsi="微软雅黑" w:eastAsia="微软雅黑" w:cs="微软雅黑"/>
        <w:sz w:val="18"/>
        <w:szCs w:val="22"/>
        <w:lang w:val="zh-CN" w:eastAsia="zh-CN" w:bidi="zh-CN"/>
      </w:rPr>
      <w:pict>
        <v:rect id="_x0000_s2053" o:spid="_x0000_s2053" o:spt="1" style="position:absolute;left:0pt;margin-top:0pt;height:144pt;width:144pt;mso-position-horizontal:center;mso-position-horizontal-relative:margin;mso-wrap-style:none;z-index:251665408;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pStyle w:val="8"/>
                  <w:rPr>
                    <w:rFonts w:hint="eastAsia" w:eastAsia="微软雅黑"/>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rFonts w:ascii="微软雅黑" w:hAnsi="微软雅黑" w:eastAsia="微软雅黑" w:cs="微软雅黑"/>
        <w:sz w:val="24"/>
        <w:szCs w:val="24"/>
        <w:lang w:val="zh-CN" w:eastAsia="zh-CN" w:bidi="zh-CN"/>
      </w:rPr>
      <w:pict>
        <v:rect id="文本框 2" o:spid="_x0000_s2049" o:spt="1" style="position:absolute;left:0pt;margin-left:120.4pt;margin-top:29.2pt;height:12pt;width:383.1pt;mso-position-horizontal-relative:page;mso-position-vertical-relative:page;z-index:-251657216;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w:txbxContent>
              <w:p>
                <w:pPr>
                  <w:spacing w:before="3"/>
                  <w:ind w:left="20"/>
                  <w:rPr>
                    <w:rFonts w:hint="eastAsia" w:ascii="宋体" w:eastAsia="宋体"/>
                    <w:sz w:val="21"/>
                    <w:szCs w:val="21"/>
                    <w:lang w:val="en-US" w:eastAsia="zh-CN"/>
                  </w:rPr>
                </w:pPr>
              </w:p>
            </w:txbxContent>
          </v:textbox>
        </v:rect>
      </w:pict>
    </w:r>
  </w:p>
  <w:p>
    <w:pPr>
      <w:pStyle w:val="6"/>
      <w:spacing w:line="14" w:lineRule="auto"/>
      <w:rPr>
        <w:sz w:val="20"/>
      </w:rPr>
    </w:pPr>
    <w:r>
      <w:rPr>
        <w:rFonts w:ascii="微软雅黑" w:hAnsi="微软雅黑" w:eastAsia="微软雅黑" w:cs="微软雅黑"/>
        <w:sz w:val="24"/>
        <w:szCs w:val="24"/>
        <w:lang w:val="zh-CN" w:eastAsia="zh-CN" w:bidi="zh-CN"/>
      </w:rPr>
      <w:pict>
        <v:line id="直线 1" o:spid="_x0000_s2050" o:spt="20" style="position:absolute;left:0pt;margin-left:42.5pt;margin-top:41.15pt;height:0.05pt;width:510.3pt;mso-position-horizontal-relative:page;mso-position-vertical-relative:page;z-index:-251658240;mso-width-relative:page;mso-height-relative:page;" fillcolor="#FFFFFF" filled="f" o:preferrelative="t" stroked="t" coordsize="21600,21600">
          <v:path arrowok="t"/>
          <v:fill on="f" color2="#FFFFFF" focussize="0,0"/>
          <v:stroke weight="0.48pt" color="#000000" color2="#FFFFFF" miterlimit="2"/>
          <v:imagedata gain="65536f" blacklevel="0f" gamma="0" o:title=""/>
          <o:lock v:ext="edit" position="f" selection="f" grouping="f" rotation="f" cropping="f" text="f" aspectratio="f"/>
        </v:lin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
      <w:jc w:val="center"/>
      <w:rPr>
        <w:rFonts w:hint="eastAsia" w:ascii="宋体" w:eastAsia="宋体"/>
        <w:sz w:val="21"/>
        <w:szCs w:val="21"/>
        <w:lang w:val="en-US" w:eastAsia="zh-CN"/>
      </w:rPr>
    </w:pPr>
    <w:r>
      <w:rPr>
        <w:rFonts w:hint="eastAsia" w:ascii="宋体" w:eastAsia="宋体"/>
        <w:spacing w:val="-5"/>
        <w:sz w:val="21"/>
        <w:szCs w:val="21"/>
        <w:lang w:val="en-US" w:eastAsia="zh-CN"/>
      </w:rPr>
      <w:t>中共呈贡区委宣传部呈贡区主次干道</w:t>
    </w:r>
    <w:r>
      <w:rPr>
        <w:rFonts w:hint="eastAsia" w:ascii="宋体" w:eastAsia="宋体"/>
        <w:spacing w:val="-5"/>
        <w:sz w:val="21"/>
        <w:szCs w:val="21"/>
        <w:lang w:val="en-US"/>
      </w:rPr>
      <w:t>灯杆道旗安装购买服务询价</w:t>
    </w:r>
    <w:r>
      <w:rPr>
        <w:rFonts w:hint="eastAsia" w:ascii="宋体" w:eastAsia="宋体"/>
        <w:spacing w:val="-5"/>
        <w:sz w:val="21"/>
        <w:szCs w:val="21"/>
        <w:lang w:val="en-US" w:eastAsia="zh-CN"/>
      </w:rPr>
      <w:t>函</w:t>
    </w:r>
  </w:p>
  <w:p>
    <w:pPr>
      <w:pStyle w:val="6"/>
      <w:spacing w:line="14" w:lineRule="auto"/>
      <w:rPr>
        <w:sz w:val="20"/>
        <w:lang w:val="en-US"/>
      </w:rPr>
    </w:pPr>
    <w:r>
      <w:rPr>
        <w:rFonts w:ascii="微软雅黑" w:hAnsi="微软雅黑" w:eastAsia="微软雅黑" w:cs="微软雅黑"/>
        <w:sz w:val="24"/>
        <w:szCs w:val="24"/>
        <w:lang w:val="zh-CN" w:eastAsia="zh-CN" w:bidi="zh-CN"/>
      </w:rPr>
      <w:pict>
        <v:line id="直线 6" o:spid="_x0000_s2052" o:spt="20" style="position:absolute;left:0pt;margin-left:42.5pt;margin-top:41.15pt;height:0.05pt;width:510.3pt;mso-position-horizontal-relative:page;mso-position-vertical-relative:page;z-index:-251656192;mso-width-relative:page;mso-height-relative:page;" fillcolor="#FFFFFF" filled="f" o:preferrelative="t" stroked="t" coordsize="21600,21600">
          <v:path arrowok="t"/>
          <v:fill on="f" color2="#FFFFFF" focussize="0,0"/>
          <v:stroke weight="0.48pt" color="#000000" color2="#FFFFFF" miterlimit="2"/>
          <v:imagedata gain="65536f" blacklevel="0f" gamma="0" o:title=""/>
          <o:lock v:ext="edit" position="f" selection="f" grouping="f" rotation="f" cropping="f" text="f" aspectratio="f"/>
        </v:lin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
      <w:jc w:val="center"/>
      <w:rPr>
        <w:rFonts w:hint="eastAsia" w:ascii="宋体" w:eastAsia="宋体"/>
        <w:sz w:val="21"/>
        <w:szCs w:val="21"/>
        <w:lang w:val="en-US" w:eastAsia="zh-CN"/>
      </w:rPr>
    </w:pPr>
    <w:r>
      <w:rPr>
        <w:rFonts w:hint="eastAsia" w:ascii="宋体" w:eastAsia="宋体"/>
        <w:spacing w:val="-5"/>
        <w:sz w:val="21"/>
        <w:szCs w:val="21"/>
        <w:lang w:val="en-US" w:eastAsia="zh-CN"/>
      </w:rPr>
      <w:t>中共呈贡区委宣传部呈贡区主次干道</w:t>
    </w:r>
    <w:r>
      <w:rPr>
        <w:rFonts w:hint="eastAsia" w:ascii="宋体" w:eastAsia="宋体"/>
        <w:spacing w:val="-5"/>
        <w:sz w:val="21"/>
        <w:szCs w:val="21"/>
        <w:lang w:val="en-US"/>
      </w:rPr>
      <w:t>灯杆道旗安装购买服务询价</w:t>
    </w:r>
    <w:r>
      <w:rPr>
        <w:rFonts w:hint="eastAsia" w:ascii="宋体" w:eastAsia="宋体"/>
        <w:spacing w:val="-5"/>
        <w:sz w:val="21"/>
        <w:szCs w:val="21"/>
        <w:lang w:val="en-US" w:eastAsia="zh-CN"/>
      </w:rPr>
      <w:t>函</w:t>
    </w:r>
  </w:p>
  <w:p>
    <w:pPr>
      <w:pStyle w:val="6"/>
      <w:spacing w:line="14" w:lineRule="auto"/>
      <w:rPr>
        <w:sz w:val="2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val="1"/>
  <w:bordersDoNotSurroundFooter w:val="1"/>
  <w:documentProtection w:enforcement="0"/>
  <w:defaultTabStop w:val="720"/>
  <w:drawingGridHorizontalSpacing w:val="110"/>
  <w:displayHorizontalDrawingGridEvery w:val="2"/>
  <w:displayVerticalDrawingGridEvery w:val="1"/>
  <w:characterSpacingControl w:val="doNotCompress"/>
  <w:hdrShapeDefaults>
    <o:shapelayout v:ext="edit">
      <o:idmap v:ext="edit" data="2"/>
    </o:shapelayout>
  </w:hdrShapeDefaults>
  <w:compat>
    <w:spaceForUL/>
    <w:doNotLeaveBackslashAlone/>
    <w:ulTrailSpac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B5056B"/>
    <w:rsid w:val="00034B65"/>
    <w:rsid w:val="00152638"/>
    <w:rsid w:val="00191986"/>
    <w:rsid w:val="00243976"/>
    <w:rsid w:val="002617FE"/>
    <w:rsid w:val="003D1B0D"/>
    <w:rsid w:val="00414672"/>
    <w:rsid w:val="004549B5"/>
    <w:rsid w:val="004708AD"/>
    <w:rsid w:val="004B75F9"/>
    <w:rsid w:val="005737C1"/>
    <w:rsid w:val="005D24CB"/>
    <w:rsid w:val="006041ED"/>
    <w:rsid w:val="00705C03"/>
    <w:rsid w:val="00836203"/>
    <w:rsid w:val="008615C0"/>
    <w:rsid w:val="008673B0"/>
    <w:rsid w:val="008B5148"/>
    <w:rsid w:val="00910AAD"/>
    <w:rsid w:val="00913B25"/>
    <w:rsid w:val="00A53F88"/>
    <w:rsid w:val="00A56CD9"/>
    <w:rsid w:val="00B5056B"/>
    <w:rsid w:val="00BF0D21"/>
    <w:rsid w:val="00C1423B"/>
    <w:rsid w:val="00C30C8F"/>
    <w:rsid w:val="00C668C6"/>
    <w:rsid w:val="00C7538C"/>
    <w:rsid w:val="00CA63CB"/>
    <w:rsid w:val="00CC0E7A"/>
    <w:rsid w:val="00CD1868"/>
    <w:rsid w:val="00CE6F3A"/>
    <w:rsid w:val="00DA0293"/>
    <w:rsid w:val="00DB5421"/>
    <w:rsid w:val="00E45AE5"/>
    <w:rsid w:val="00E85A24"/>
    <w:rsid w:val="00F21E12"/>
    <w:rsid w:val="00F352A5"/>
    <w:rsid w:val="00FD6C1E"/>
    <w:rsid w:val="028240A1"/>
    <w:rsid w:val="04671F8E"/>
    <w:rsid w:val="046F57A7"/>
    <w:rsid w:val="0587667E"/>
    <w:rsid w:val="05A53744"/>
    <w:rsid w:val="063B5DD5"/>
    <w:rsid w:val="06694448"/>
    <w:rsid w:val="06D92157"/>
    <w:rsid w:val="07614C69"/>
    <w:rsid w:val="07D764FE"/>
    <w:rsid w:val="08621413"/>
    <w:rsid w:val="086F493B"/>
    <w:rsid w:val="09091BB4"/>
    <w:rsid w:val="09A47AB4"/>
    <w:rsid w:val="09C24742"/>
    <w:rsid w:val="0A3742B5"/>
    <w:rsid w:val="0A7262D3"/>
    <w:rsid w:val="0C4360E2"/>
    <w:rsid w:val="0CFD244E"/>
    <w:rsid w:val="0D481B4B"/>
    <w:rsid w:val="0D8F0142"/>
    <w:rsid w:val="0DB37302"/>
    <w:rsid w:val="0DF52037"/>
    <w:rsid w:val="0E5D2D0C"/>
    <w:rsid w:val="0F102437"/>
    <w:rsid w:val="0FB712C1"/>
    <w:rsid w:val="105B062F"/>
    <w:rsid w:val="10A8428B"/>
    <w:rsid w:val="10E7522A"/>
    <w:rsid w:val="127A5B26"/>
    <w:rsid w:val="13271754"/>
    <w:rsid w:val="13BE1CEA"/>
    <w:rsid w:val="141E683A"/>
    <w:rsid w:val="144F7556"/>
    <w:rsid w:val="14C4724F"/>
    <w:rsid w:val="15A82882"/>
    <w:rsid w:val="15C21625"/>
    <w:rsid w:val="1847121D"/>
    <w:rsid w:val="1A645D22"/>
    <w:rsid w:val="1B3A590B"/>
    <w:rsid w:val="1C5437F1"/>
    <w:rsid w:val="1CCD0538"/>
    <w:rsid w:val="1CF539E4"/>
    <w:rsid w:val="1D791C89"/>
    <w:rsid w:val="1E9540FD"/>
    <w:rsid w:val="1F816303"/>
    <w:rsid w:val="1FE465E9"/>
    <w:rsid w:val="20C86FC8"/>
    <w:rsid w:val="21143208"/>
    <w:rsid w:val="211F04C3"/>
    <w:rsid w:val="231F1ABE"/>
    <w:rsid w:val="23A900BA"/>
    <w:rsid w:val="24031EB8"/>
    <w:rsid w:val="24352513"/>
    <w:rsid w:val="248715CC"/>
    <w:rsid w:val="254F56D9"/>
    <w:rsid w:val="25774BE4"/>
    <w:rsid w:val="25B42BFA"/>
    <w:rsid w:val="29A22EFF"/>
    <w:rsid w:val="2AF21175"/>
    <w:rsid w:val="2C392AAB"/>
    <w:rsid w:val="2D5303BF"/>
    <w:rsid w:val="2DE90065"/>
    <w:rsid w:val="2EC45A99"/>
    <w:rsid w:val="2EE969E4"/>
    <w:rsid w:val="3073500C"/>
    <w:rsid w:val="307B4513"/>
    <w:rsid w:val="30DC1A40"/>
    <w:rsid w:val="31D32537"/>
    <w:rsid w:val="3217588E"/>
    <w:rsid w:val="323C3A91"/>
    <w:rsid w:val="328A4CD9"/>
    <w:rsid w:val="32C64086"/>
    <w:rsid w:val="330C6FD5"/>
    <w:rsid w:val="33396B35"/>
    <w:rsid w:val="33951F16"/>
    <w:rsid w:val="33AC1658"/>
    <w:rsid w:val="346465B9"/>
    <w:rsid w:val="349C7762"/>
    <w:rsid w:val="34A8073C"/>
    <w:rsid w:val="34E87410"/>
    <w:rsid w:val="34ED4F70"/>
    <w:rsid w:val="351246D5"/>
    <w:rsid w:val="353C73D2"/>
    <w:rsid w:val="35764BA9"/>
    <w:rsid w:val="364539FF"/>
    <w:rsid w:val="36581000"/>
    <w:rsid w:val="370B7448"/>
    <w:rsid w:val="377704ED"/>
    <w:rsid w:val="37845DBE"/>
    <w:rsid w:val="380D4630"/>
    <w:rsid w:val="39343D93"/>
    <w:rsid w:val="393748D9"/>
    <w:rsid w:val="39701ED2"/>
    <w:rsid w:val="3A010F23"/>
    <w:rsid w:val="3A0B3F30"/>
    <w:rsid w:val="3A184D2E"/>
    <w:rsid w:val="3A797DCD"/>
    <w:rsid w:val="3ACC3544"/>
    <w:rsid w:val="3BA76D0D"/>
    <w:rsid w:val="3E411666"/>
    <w:rsid w:val="4164636F"/>
    <w:rsid w:val="421938CA"/>
    <w:rsid w:val="42A20EEE"/>
    <w:rsid w:val="43A010D1"/>
    <w:rsid w:val="4408587B"/>
    <w:rsid w:val="44C817BD"/>
    <w:rsid w:val="45753200"/>
    <w:rsid w:val="46353213"/>
    <w:rsid w:val="46703EF8"/>
    <w:rsid w:val="468B656B"/>
    <w:rsid w:val="46EB6C94"/>
    <w:rsid w:val="470D6873"/>
    <w:rsid w:val="47E90651"/>
    <w:rsid w:val="48207749"/>
    <w:rsid w:val="49497F17"/>
    <w:rsid w:val="495F7BCC"/>
    <w:rsid w:val="496623E1"/>
    <w:rsid w:val="4B090810"/>
    <w:rsid w:val="4B510EA5"/>
    <w:rsid w:val="4D257479"/>
    <w:rsid w:val="4D477CE7"/>
    <w:rsid w:val="4F19353B"/>
    <w:rsid w:val="502136C0"/>
    <w:rsid w:val="50350401"/>
    <w:rsid w:val="50652478"/>
    <w:rsid w:val="512C0651"/>
    <w:rsid w:val="51913F85"/>
    <w:rsid w:val="51DF3052"/>
    <w:rsid w:val="526A0C2E"/>
    <w:rsid w:val="52ED0348"/>
    <w:rsid w:val="53384F81"/>
    <w:rsid w:val="539070DA"/>
    <w:rsid w:val="539A42BB"/>
    <w:rsid w:val="55655CBD"/>
    <w:rsid w:val="56DC56A0"/>
    <w:rsid w:val="56F531DF"/>
    <w:rsid w:val="56FD4D17"/>
    <w:rsid w:val="572A0EA6"/>
    <w:rsid w:val="57594827"/>
    <w:rsid w:val="5794687A"/>
    <w:rsid w:val="585972D4"/>
    <w:rsid w:val="59840A8C"/>
    <w:rsid w:val="59EE4EB5"/>
    <w:rsid w:val="5A6667F6"/>
    <w:rsid w:val="5AAD4D78"/>
    <w:rsid w:val="5D154FFB"/>
    <w:rsid w:val="5D76145E"/>
    <w:rsid w:val="5D835867"/>
    <w:rsid w:val="5E2E4F5A"/>
    <w:rsid w:val="5E4C70DE"/>
    <w:rsid w:val="5F02662C"/>
    <w:rsid w:val="61A55784"/>
    <w:rsid w:val="61D93E80"/>
    <w:rsid w:val="646D0296"/>
    <w:rsid w:val="658C1F25"/>
    <w:rsid w:val="664D7CBE"/>
    <w:rsid w:val="67466669"/>
    <w:rsid w:val="69330D1D"/>
    <w:rsid w:val="6997395E"/>
    <w:rsid w:val="699C3E45"/>
    <w:rsid w:val="69A225B6"/>
    <w:rsid w:val="6ABE2E2D"/>
    <w:rsid w:val="6B15692F"/>
    <w:rsid w:val="6CAD53D7"/>
    <w:rsid w:val="6D6D0850"/>
    <w:rsid w:val="6DB56F3E"/>
    <w:rsid w:val="6DB97321"/>
    <w:rsid w:val="6E3E5745"/>
    <w:rsid w:val="6E774861"/>
    <w:rsid w:val="702F6D0F"/>
    <w:rsid w:val="703445BD"/>
    <w:rsid w:val="70470724"/>
    <w:rsid w:val="716301F2"/>
    <w:rsid w:val="71672925"/>
    <w:rsid w:val="71F5044D"/>
    <w:rsid w:val="73391012"/>
    <w:rsid w:val="73A25AF9"/>
    <w:rsid w:val="74157A36"/>
    <w:rsid w:val="747B05A6"/>
    <w:rsid w:val="74DD0F7E"/>
    <w:rsid w:val="75303D65"/>
    <w:rsid w:val="75C83E40"/>
    <w:rsid w:val="763F1E7A"/>
    <w:rsid w:val="76F415AA"/>
    <w:rsid w:val="77D7425D"/>
    <w:rsid w:val="78142696"/>
    <w:rsid w:val="7855134F"/>
    <w:rsid w:val="78706D66"/>
    <w:rsid w:val="790F0387"/>
    <w:rsid w:val="7A6323F4"/>
    <w:rsid w:val="7B3D516C"/>
    <w:rsid w:val="7B5A6470"/>
    <w:rsid w:val="7C2D2567"/>
    <w:rsid w:val="7C47078F"/>
    <w:rsid w:val="7C643413"/>
    <w:rsid w:val="7D125CF8"/>
    <w:rsid w:val="7DC10768"/>
    <w:rsid w:val="7DDD7DFE"/>
    <w:rsid w:val="7E940037"/>
    <w:rsid w:val="7EC67AEE"/>
    <w:rsid w:val="7EF26D46"/>
    <w:rsid w:val="7EFC6A9C"/>
    <w:rsid w:val="7F6D1D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微软雅黑" w:hAnsi="微软雅黑" w:eastAsia="微软雅黑" w:cs="微软雅黑"/>
      <w:sz w:val="22"/>
      <w:szCs w:val="22"/>
      <w:lang w:val="zh-CN" w:eastAsia="zh-CN" w:bidi="zh-CN"/>
    </w:rPr>
  </w:style>
  <w:style w:type="paragraph" w:styleId="2">
    <w:name w:val="heading 1"/>
    <w:basedOn w:val="1"/>
    <w:next w:val="1"/>
    <w:qFormat/>
    <w:uiPriority w:val="1"/>
    <w:pPr>
      <w:spacing w:before="15"/>
      <w:ind w:left="1571" w:right="3313"/>
      <w:jc w:val="center"/>
      <w:outlineLvl w:val="0"/>
    </w:pPr>
    <w:rPr>
      <w:b/>
      <w:bCs/>
      <w:sz w:val="32"/>
      <w:szCs w:val="32"/>
    </w:rPr>
  </w:style>
  <w:style w:type="paragraph" w:styleId="3">
    <w:name w:val="heading 2"/>
    <w:basedOn w:val="1"/>
    <w:next w:val="1"/>
    <w:qFormat/>
    <w:uiPriority w:val="1"/>
    <w:pPr>
      <w:ind w:left="4060" w:hanging="495"/>
      <w:outlineLvl w:val="1"/>
    </w:pPr>
    <w:rPr>
      <w:b/>
      <w:bCs/>
      <w:sz w:val="28"/>
      <w:szCs w:val="28"/>
    </w:rPr>
  </w:style>
  <w:style w:type="paragraph" w:styleId="4">
    <w:name w:val="heading 3"/>
    <w:basedOn w:val="1"/>
    <w:next w:val="1"/>
    <w:qFormat/>
    <w:uiPriority w:val="1"/>
    <w:pPr>
      <w:spacing w:before="193"/>
      <w:ind w:left="109"/>
      <w:outlineLvl w:val="2"/>
    </w:pPr>
    <w:rPr>
      <w:b/>
      <w:bCs/>
      <w:sz w:val="24"/>
      <w:szCs w:val="24"/>
    </w:rPr>
  </w:style>
  <w:style w:type="paragraph" w:styleId="5">
    <w:name w:val="heading 9"/>
    <w:basedOn w:val="1"/>
    <w:next w:val="1"/>
    <w:link w:val="18"/>
    <w:unhideWhenUsed/>
    <w:qFormat/>
    <w:uiPriority w:val="0"/>
    <w:pPr>
      <w:keepNext/>
      <w:keepLines/>
      <w:spacing w:before="240" w:after="64" w:line="320" w:lineRule="auto"/>
      <w:outlineLvl w:val="8"/>
    </w:pPr>
    <w:rPr>
      <w:rFonts w:ascii="Cambria" w:hAnsi="Cambria" w:eastAsia="宋体" w:cs="黑体"/>
      <w:sz w:val="21"/>
      <w:szCs w:val="21"/>
    </w:rPr>
  </w:style>
  <w:style w:type="character" w:default="1" w:styleId="13">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6">
    <w:name w:val="Body Text"/>
    <w:basedOn w:val="1"/>
    <w:qFormat/>
    <w:uiPriority w:val="1"/>
    <w:rPr>
      <w:sz w:val="24"/>
      <w:szCs w:val="24"/>
    </w:rPr>
  </w:style>
  <w:style w:type="paragraph" w:styleId="7">
    <w:name w:val="Balloon Text"/>
    <w:basedOn w:val="1"/>
    <w:link w:val="17"/>
    <w:qFormat/>
    <w:uiPriority w:val="0"/>
    <w:rPr>
      <w:sz w:val="18"/>
      <w:szCs w:val="18"/>
    </w:rPr>
  </w:style>
  <w:style w:type="paragraph" w:styleId="8">
    <w:name w:val="footer"/>
    <w:basedOn w:val="1"/>
    <w:qFormat/>
    <w:uiPriority w:val="0"/>
    <w:pPr>
      <w:tabs>
        <w:tab w:val="center" w:pos="4153"/>
        <w:tab w:val="right" w:pos="8306"/>
      </w:tabs>
      <w:snapToGrid w:val="0"/>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0">
    <w:name w:val="toc 1"/>
    <w:basedOn w:val="1"/>
    <w:next w:val="1"/>
    <w:qFormat/>
    <w:uiPriority w:val="1"/>
    <w:pPr>
      <w:spacing w:before="772"/>
      <w:ind w:left="649"/>
    </w:pPr>
    <w:rPr>
      <w:sz w:val="30"/>
      <w:szCs w:val="30"/>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SA"/>
    </w:rPr>
  </w:style>
  <w:style w:type="paragraph" w:customStyle="1" w:styleId="14">
    <w:name w:val="列表段落1"/>
    <w:basedOn w:val="1"/>
    <w:qFormat/>
    <w:uiPriority w:val="1"/>
    <w:pPr>
      <w:ind w:left="988" w:hanging="599"/>
    </w:pPr>
  </w:style>
  <w:style w:type="paragraph" w:customStyle="1" w:styleId="15">
    <w:name w:val="Table Paragraph"/>
    <w:basedOn w:val="1"/>
    <w:qFormat/>
    <w:uiPriority w:val="1"/>
  </w:style>
  <w:style w:type="paragraph" w:customStyle="1" w:styleId="16">
    <w:name w:val="样式 首行缩进:  0 字符"/>
    <w:basedOn w:val="1"/>
    <w:link w:val="19"/>
    <w:qFormat/>
    <w:uiPriority w:val="0"/>
    <w:pPr>
      <w:widowControl/>
      <w:spacing w:line="360" w:lineRule="auto"/>
      <w:ind w:firstLine="200" w:firstLineChars="200"/>
    </w:pPr>
    <w:rPr>
      <w:rFonts w:ascii="宋体" w:hAnsi="宋体" w:eastAsia="等线" w:cs="宋体"/>
      <w:sz w:val="24"/>
      <w:szCs w:val="20"/>
      <w:lang w:val="en-US" w:bidi="ar-SA"/>
    </w:rPr>
  </w:style>
  <w:style w:type="character" w:customStyle="1" w:styleId="17">
    <w:name w:val="批注框文本 字符"/>
    <w:basedOn w:val="13"/>
    <w:link w:val="7"/>
    <w:qFormat/>
    <w:uiPriority w:val="0"/>
    <w:rPr>
      <w:rFonts w:ascii="微软雅黑" w:hAnsi="微软雅黑" w:eastAsia="微软雅黑" w:cs="微软雅黑"/>
      <w:sz w:val="18"/>
      <w:szCs w:val="18"/>
      <w:lang w:val="zh-CN" w:bidi="zh-CN"/>
    </w:rPr>
  </w:style>
  <w:style w:type="character" w:customStyle="1" w:styleId="18">
    <w:name w:val="标题 9 字符"/>
    <w:basedOn w:val="13"/>
    <w:link w:val="5"/>
    <w:qFormat/>
    <w:uiPriority w:val="0"/>
    <w:rPr>
      <w:rFonts w:ascii="Cambria" w:hAnsi="Cambria" w:eastAsia="宋体" w:cs="黑体"/>
      <w:sz w:val="21"/>
      <w:szCs w:val="21"/>
      <w:lang w:val="zh-CN" w:bidi="zh-CN"/>
    </w:rPr>
  </w:style>
  <w:style w:type="character" w:customStyle="1" w:styleId="19">
    <w:name w:val="样式 首行缩进:  0 字符 Char"/>
    <w:link w:val="16"/>
    <w:qFormat/>
    <w:locked/>
    <w:uiPriority w:val="0"/>
    <w:rPr>
      <w:rFonts w:ascii="宋体" w:hAnsi="宋体" w:eastAsia="等线" w:cs="宋体"/>
      <w:sz w:val="24"/>
    </w:rPr>
  </w:style>
  <w:style w:type="table" w:customStyle="1" w:styleId="20">
    <w:name w:val="Table Normal"/>
    <w:unhideWhenUsed/>
    <w:qFormat/>
    <w:uiPriority w:val="2"/>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customShpInfo spid="_x0000_s2050" textRotate="1"/>
    <customShpInfo spid="_x0000_s2051"/>
    <customShpInfo spid="_x0000_s2052" textRotate="1"/>
    <customShpInfo spid="_x0000_s2053"/>
    <customShpInfo spid="_x0000_s1030" textRotate="1"/>
    <customShpInfo spid="_x0000_s1032" textRotate="1"/>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546</Words>
  <Characters>3116</Characters>
  <Lines>25</Lines>
  <Paragraphs>7</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2021-05-12T15:03:00Z</dcterms:created>
  <dc:creator>Administrator</dc:creator>
  <cp:lastModifiedBy>Frank</cp:lastModifiedBy>
  <cp:lastPrinted>2021-05-14T08:18:00Z</cp:lastPrinted>
  <dcterms:modified xsi:type="dcterms:W3CDTF">2021-05-20T07:26:20Z</dcterms:modified>
  <dc:title>灯杆道旗安装购买服务公告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2020-09-08T00:00:00Z</vt:filetime>
  </property>
  <property fmtid="{D5CDD505-2E9C-101B-9397-08002B2CF9AE}" pid="3" name="Creator">
    <vt:lpwstr>WPS 文字</vt:lpwstr>
  </property>
  <property fmtid="{D5CDD505-2E9C-101B-9397-08002B2CF9AE}" pid="4" name="LastSaved">
    <vt:filetime>2020-09-08T00:00:00Z</vt:filetime>
  </property>
  <property fmtid="{D5CDD505-2E9C-101B-9397-08002B2CF9AE}" pid="5" name="KSOProductBuildVer">
    <vt:lpwstr>2052-11.8.6.8722</vt:lpwstr>
  </property>
  <property fmtid="{D5CDD505-2E9C-101B-9397-08002B2CF9AE}" pid="6" name="ICV">
    <vt:lpwstr>6B65E1D182A54E0682FC97AB3852E788</vt:lpwstr>
  </property>
</Properties>
</file>