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heme="minorEastAsia" w:hAnsiTheme="minorEastAsia"/>
          <w:sz w:val="44"/>
          <w:szCs w:val="44"/>
        </w:rPr>
      </w:pPr>
      <w:bookmarkStart w:id="0" w:name="_GoBack"/>
      <w:bookmarkEnd w:id="0"/>
      <w:r>
        <w:rPr>
          <w:rFonts w:hint="eastAsia" w:asciiTheme="minorEastAsia" w:hAnsiTheme="minorEastAsia"/>
          <w:sz w:val="44"/>
          <w:szCs w:val="44"/>
          <w:lang w:eastAsia="zh-CN"/>
        </w:rPr>
        <w:t>昆明市</w:t>
      </w:r>
      <w:r>
        <w:rPr>
          <w:rFonts w:hint="eastAsia" w:asciiTheme="minorEastAsia" w:hAnsiTheme="minorEastAsia"/>
          <w:sz w:val="44"/>
          <w:szCs w:val="44"/>
        </w:rPr>
        <w:t>呈贡区</w:t>
      </w:r>
      <w:r>
        <w:rPr>
          <w:rFonts w:hint="eastAsia" w:asciiTheme="minorEastAsia" w:hAnsiTheme="minorEastAsia"/>
          <w:sz w:val="44"/>
          <w:szCs w:val="44"/>
          <w:lang w:eastAsia="zh-CN"/>
        </w:rPr>
        <w:t>住房和城乡</w:t>
      </w:r>
      <w:r>
        <w:rPr>
          <w:rFonts w:hint="eastAsia" w:asciiTheme="minorEastAsia" w:hAnsiTheme="minorEastAsia"/>
          <w:sz w:val="44"/>
          <w:szCs w:val="44"/>
          <w:lang w:val="en-US" w:eastAsia="zh-CN"/>
        </w:rPr>
        <w:t>建设</w:t>
      </w:r>
      <w:r>
        <w:rPr>
          <w:rFonts w:hint="eastAsia" w:asciiTheme="minorEastAsia" w:hAnsiTheme="minorEastAsia"/>
          <w:sz w:val="44"/>
          <w:szCs w:val="44"/>
        </w:rPr>
        <w:t>局</w:t>
      </w:r>
    </w:p>
    <w:p>
      <w:pPr>
        <w:spacing w:line="560" w:lineRule="exact"/>
        <w:jc w:val="center"/>
        <w:rPr>
          <w:rFonts w:hint="eastAsia" w:asciiTheme="minorEastAsia" w:hAnsiTheme="minorEastAsia"/>
          <w:sz w:val="44"/>
          <w:szCs w:val="44"/>
          <w:lang w:eastAsia="zh-CN"/>
        </w:rPr>
      </w:pPr>
      <w:r>
        <w:rPr>
          <w:rFonts w:hint="eastAsia" w:asciiTheme="minorEastAsia" w:hAnsiTheme="minorEastAsia"/>
          <w:sz w:val="44"/>
          <w:szCs w:val="44"/>
        </w:rPr>
        <w:t>关于</w:t>
      </w:r>
      <w:r>
        <w:rPr>
          <w:rFonts w:hint="eastAsia" w:asciiTheme="minorEastAsia" w:hAnsiTheme="minorEastAsia"/>
          <w:sz w:val="44"/>
          <w:szCs w:val="44"/>
          <w:lang w:eastAsia="zh-CN"/>
        </w:rPr>
        <w:t>“昆明市呈贡区农村房屋安全隐患排查整治工作—初步判定为危房的</w:t>
      </w:r>
      <w:r>
        <w:rPr>
          <w:rFonts w:hint="eastAsia" w:asciiTheme="minorEastAsia" w:hAnsiTheme="minorEastAsia"/>
          <w:sz w:val="44"/>
          <w:szCs w:val="44"/>
          <w:lang w:val="en-US" w:eastAsia="zh-CN"/>
        </w:rPr>
        <w:t>农房</w:t>
      </w:r>
      <w:r>
        <w:rPr>
          <w:rFonts w:hint="eastAsia" w:asciiTheme="minorEastAsia" w:hAnsiTheme="minorEastAsia"/>
          <w:sz w:val="44"/>
          <w:szCs w:val="44"/>
          <w:lang w:eastAsia="zh-CN"/>
        </w:rPr>
        <w:t>安</w:t>
      </w:r>
    </w:p>
    <w:p>
      <w:pPr>
        <w:spacing w:line="560" w:lineRule="exact"/>
        <w:jc w:val="center"/>
        <w:rPr>
          <w:rFonts w:hint="eastAsia" w:asciiTheme="minorEastAsia" w:hAnsiTheme="minorEastAsia"/>
          <w:sz w:val="44"/>
          <w:szCs w:val="44"/>
        </w:rPr>
      </w:pPr>
      <w:r>
        <w:rPr>
          <w:rFonts w:hint="eastAsia" w:asciiTheme="minorEastAsia" w:hAnsiTheme="minorEastAsia"/>
          <w:sz w:val="44"/>
          <w:szCs w:val="44"/>
          <w:lang w:eastAsia="zh-CN"/>
        </w:rPr>
        <w:t>全鉴定</w:t>
      </w:r>
      <w:r>
        <w:rPr>
          <w:rFonts w:hint="eastAsia" w:asciiTheme="minorEastAsia" w:hAnsiTheme="minorEastAsia"/>
          <w:sz w:val="44"/>
          <w:szCs w:val="44"/>
        </w:rPr>
        <w:t>第三方服务项目</w:t>
      </w:r>
      <w:r>
        <w:rPr>
          <w:rFonts w:hint="eastAsia" w:asciiTheme="minorEastAsia" w:hAnsiTheme="minorEastAsia"/>
          <w:sz w:val="44"/>
          <w:szCs w:val="44"/>
          <w:lang w:eastAsia="zh-CN"/>
        </w:rPr>
        <w:t>”</w:t>
      </w:r>
      <w:r>
        <w:rPr>
          <w:rFonts w:hint="eastAsia" w:asciiTheme="minorEastAsia" w:hAnsiTheme="minorEastAsia"/>
          <w:sz w:val="44"/>
          <w:szCs w:val="44"/>
        </w:rPr>
        <w:t>政</w:t>
      </w:r>
    </w:p>
    <w:p>
      <w:pPr>
        <w:spacing w:line="560" w:lineRule="exact"/>
        <w:jc w:val="center"/>
        <w:rPr>
          <w:rFonts w:asciiTheme="minorEastAsia" w:hAnsiTheme="minorEastAsia"/>
          <w:sz w:val="44"/>
          <w:szCs w:val="44"/>
        </w:rPr>
      </w:pPr>
      <w:r>
        <w:rPr>
          <w:rFonts w:hint="eastAsia" w:asciiTheme="minorEastAsia" w:hAnsiTheme="minorEastAsia"/>
          <w:sz w:val="44"/>
          <w:szCs w:val="44"/>
        </w:rPr>
        <w:t>府购买服务计划</w:t>
      </w:r>
    </w:p>
    <w:p>
      <w:pPr>
        <w:rPr>
          <w:rFonts w:ascii="仿宋" w:hAnsi="仿宋" w:eastAsia="仿宋"/>
          <w:sz w:val="32"/>
          <w:szCs w:val="32"/>
        </w:rPr>
      </w:pPr>
      <w:r>
        <w:rPr>
          <w:rFonts w:hint="eastAsia" w:ascii="仿宋" w:hAnsi="仿宋" w:eastAsia="仿宋"/>
          <w:sz w:val="32"/>
          <w:szCs w:val="32"/>
        </w:rPr>
        <w:t xml:space="preserve"> </w:t>
      </w:r>
    </w:p>
    <w:p>
      <w:pPr>
        <w:spacing w:line="560" w:lineRule="exact"/>
        <w:rPr>
          <w:rFonts w:ascii="仿宋" w:hAnsi="仿宋" w:eastAsia="仿宋"/>
          <w:sz w:val="32"/>
          <w:szCs w:val="32"/>
        </w:rPr>
      </w:pPr>
      <w:r>
        <w:rPr>
          <w:rFonts w:hint="eastAsia" w:ascii="仿宋" w:hAnsi="仿宋" w:eastAsia="仿宋"/>
          <w:sz w:val="32"/>
          <w:szCs w:val="32"/>
        </w:rPr>
        <w:t xml:space="preserve">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按照《昆明市呈贡区人民政府办公室关于印发</w:t>
      </w:r>
      <w:r>
        <w:rPr>
          <w:rFonts w:hint="eastAsia" w:ascii="仿宋" w:hAnsi="仿宋" w:eastAsia="仿宋" w:cs="宋体"/>
          <w:sz w:val="32"/>
          <w:szCs w:val="32"/>
        </w:rPr>
        <w:t>&lt;昆明市呈贡区</w:t>
      </w:r>
      <w:r>
        <w:rPr>
          <w:rFonts w:hint="eastAsia" w:ascii="仿宋" w:hAnsi="仿宋" w:eastAsia="仿宋"/>
          <w:sz w:val="32"/>
          <w:szCs w:val="32"/>
        </w:rPr>
        <w:t>推进政府购买服务的实施意见（暂行）</w:t>
      </w:r>
      <w:r>
        <w:rPr>
          <w:rFonts w:hint="eastAsia" w:ascii="仿宋" w:hAnsi="仿宋" w:eastAsia="仿宋" w:cs="宋体"/>
          <w:sz w:val="32"/>
          <w:szCs w:val="32"/>
        </w:rPr>
        <w:t>&gt;的通知</w:t>
      </w:r>
      <w:r>
        <w:rPr>
          <w:rFonts w:hint="eastAsia" w:ascii="仿宋" w:hAnsi="仿宋" w:eastAsia="仿宋"/>
          <w:sz w:val="32"/>
          <w:szCs w:val="32"/>
        </w:rPr>
        <w:t>》（呈政办发〔2016〕97号）相关规定，昆明市呈贡区住房和城乡</w:t>
      </w:r>
      <w:r>
        <w:rPr>
          <w:rFonts w:hint="eastAsia" w:ascii="仿宋" w:hAnsi="仿宋" w:eastAsia="仿宋"/>
          <w:sz w:val="32"/>
          <w:szCs w:val="32"/>
          <w:lang w:val="en-US" w:eastAsia="zh-CN"/>
        </w:rPr>
        <w:t>建设</w:t>
      </w:r>
      <w:r>
        <w:rPr>
          <w:rFonts w:hint="eastAsia" w:ascii="仿宋" w:hAnsi="仿宋" w:eastAsia="仿宋"/>
          <w:sz w:val="32"/>
          <w:szCs w:val="32"/>
        </w:rPr>
        <w:t>局需通过政府购买服务方式，</w:t>
      </w:r>
      <w:r>
        <w:rPr>
          <w:rFonts w:hint="eastAsia" w:ascii="仿宋" w:hAnsi="仿宋" w:eastAsia="仿宋"/>
          <w:sz w:val="32"/>
          <w:szCs w:val="32"/>
          <w:lang w:eastAsia="zh-CN"/>
        </w:rPr>
        <w:t>完成昆明市呈贡区农村房</w:t>
      </w:r>
      <w:r>
        <w:rPr>
          <w:rFonts w:hint="eastAsia" w:ascii="仿宋" w:hAnsi="仿宋" w:eastAsia="仿宋"/>
          <w:sz w:val="32"/>
          <w:szCs w:val="32"/>
          <w:lang w:val="en-US" w:eastAsia="zh-CN"/>
        </w:rPr>
        <w:t>屋安全隐患排查整治工作—初步判定为危房的农房</w:t>
      </w:r>
      <w:r>
        <w:rPr>
          <w:rFonts w:hint="eastAsia" w:ascii="仿宋" w:hAnsi="仿宋" w:eastAsia="仿宋"/>
          <w:sz w:val="32"/>
          <w:szCs w:val="32"/>
          <w:lang w:eastAsia="zh-CN"/>
        </w:rPr>
        <w:t>安全鉴定</w:t>
      </w:r>
      <w:r>
        <w:rPr>
          <w:rFonts w:hint="eastAsia" w:ascii="仿宋" w:hAnsi="仿宋" w:eastAsia="仿宋"/>
          <w:sz w:val="32"/>
          <w:szCs w:val="32"/>
        </w:rPr>
        <w:t xml:space="preserve">。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一、预算资金：</w:t>
      </w:r>
      <w:r>
        <w:rPr>
          <w:rFonts w:hint="eastAsia" w:ascii="仿宋" w:hAnsi="仿宋" w:eastAsia="仿宋"/>
          <w:sz w:val="32"/>
          <w:szCs w:val="32"/>
          <w:lang w:val="en-US" w:eastAsia="zh-CN"/>
        </w:rPr>
        <w:t>15</w:t>
      </w:r>
      <w:r>
        <w:rPr>
          <w:rFonts w:hint="eastAsia" w:ascii="仿宋" w:hAnsi="仿宋" w:eastAsia="仿宋"/>
          <w:sz w:val="32"/>
          <w:szCs w:val="32"/>
        </w:rPr>
        <w:t xml:space="preserve">万元。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二、预算资金来源：</w:t>
      </w:r>
      <w:r>
        <w:rPr>
          <w:rFonts w:hint="eastAsia" w:ascii="仿宋" w:hAnsi="仿宋" w:eastAsia="仿宋"/>
          <w:sz w:val="32"/>
          <w:szCs w:val="32"/>
          <w:lang w:eastAsia="zh-CN"/>
        </w:rPr>
        <w:t>财政资金。从追加预算资金（</w:t>
      </w:r>
      <w:r>
        <w:rPr>
          <w:rFonts w:hint="eastAsia" w:ascii="仿宋" w:hAnsi="仿宋" w:eastAsia="仿宋"/>
          <w:sz w:val="32"/>
          <w:szCs w:val="32"/>
        </w:rPr>
        <w:t>商品服务支出</w:t>
      </w:r>
      <w:r>
        <w:rPr>
          <w:rFonts w:hint="eastAsia" w:ascii="仿宋" w:hAnsi="仿宋" w:eastAsia="仿宋"/>
          <w:sz w:val="32"/>
          <w:szCs w:val="32"/>
          <w:lang w:eastAsia="zh-CN"/>
        </w:rPr>
        <w:t>）</w:t>
      </w:r>
      <w:r>
        <w:rPr>
          <w:rFonts w:hint="eastAsia" w:ascii="仿宋" w:hAnsi="仿宋" w:eastAsia="仿宋"/>
          <w:sz w:val="32"/>
          <w:szCs w:val="32"/>
        </w:rPr>
        <w:t xml:space="preserve">中列支。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三、购买服务目录：根据《昆明市市本级2018年政府购买服务指导性目录》，目录代码：F0101，目录名称：其他适宜由社会力量承担的服务事项。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四、工作内容和目标要求 </w:t>
      </w:r>
    </w:p>
    <w:p>
      <w:pPr>
        <w:spacing w:beforeLines="0" w:afterLines="0"/>
        <w:ind w:firstLine="640" w:firstLineChars="200"/>
        <w:jc w:val="left"/>
        <w:rPr>
          <w:rFonts w:hint="eastAsia" w:ascii="仿宋" w:hAnsi="仿宋" w:eastAsia="仿宋"/>
          <w:sz w:val="32"/>
          <w:lang w:eastAsia="zh-CN"/>
        </w:rPr>
      </w:pPr>
      <w:r>
        <w:rPr>
          <w:rFonts w:hint="eastAsia" w:ascii="仿宋" w:hAnsi="仿宋" w:eastAsia="仿宋"/>
          <w:sz w:val="32"/>
          <w:szCs w:val="32"/>
        </w:rPr>
        <w:t>20</w:t>
      </w:r>
      <w:r>
        <w:rPr>
          <w:rFonts w:hint="eastAsia" w:ascii="仿宋" w:hAnsi="仿宋" w:eastAsia="仿宋"/>
          <w:sz w:val="32"/>
          <w:szCs w:val="32"/>
          <w:lang w:val="en-US" w:eastAsia="zh-CN"/>
        </w:rPr>
        <w:t>21</w:t>
      </w:r>
      <w:r>
        <w:rPr>
          <w:rFonts w:hint="eastAsia" w:ascii="仿宋" w:hAnsi="仿宋" w:eastAsia="仿宋"/>
          <w:sz w:val="32"/>
          <w:szCs w:val="32"/>
        </w:rPr>
        <w:t>年</w:t>
      </w:r>
      <w:r>
        <w:rPr>
          <w:rFonts w:hint="eastAsia" w:ascii="仿宋" w:hAnsi="仿宋" w:eastAsia="仿宋"/>
          <w:sz w:val="32"/>
          <w:szCs w:val="32"/>
          <w:lang w:val="en-US" w:eastAsia="zh-CN"/>
        </w:rPr>
        <w:t>4</w:t>
      </w:r>
      <w:r>
        <w:rPr>
          <w:rFonts w:hint="eastAsia" w:ascii="仿宋" w:hAnsi="仿宋" w:eastAsia="仿宋"/>
          <w:sz w:val="32"/>
          <w:szCs w:val="32"/>
        </w:rPr>
        <w:t>月</w:t>
      </w:r>
      <w:r>
        <w:rPr>
          <w:rFonts w:hint="eastAsia" w:ascii="仿宋" w:hAnsi="仿宋" w:eastAsia="仿宋"/>
          <w:sz w:val="32"/>
          <w:szCs w:val="32"/>
          <w:lang w:val="en-US" w:eastAsia="zh-CN"/>
        </w:rPr>
        <w:t>30</w:t>
      </w:r>
      <w:r>
        <w:rPr>
          <w:rFonts w:hint="eastAsia" w:ascii="仿宋" w:hAnsi="仿宋" w:eastAsia="仿宋"/>
          <w:sz w:val="32"/>
          <w:szCs w:val="32"/>
        </w:rPr>
        <w:t>日</w:t>
      </w:r>
      <w:r>
        <w:rPr>
          <w:rFonts w:hint="eastAsia" w:ascii="仿宋" w:hAnsi="仿宋" w:eastAsia="仿宋"/>
          <w:sz w:val="32"/>
          <w:szCs w:val="32"/>
          <w:lang w:eastAsia="zh-CN"/>
        </w:rPr>
        <w:t>前完成呈贡区约</w:t>
      </w:r>
      <w:r>
        <w:rPr>
          <w:rFonts w:hint="eastAsia" w:ascii="仿宋" w:hAnsi="仿宋" w:eastAsia="仿宋"/>
          <w:sz w:val="32"/>
          <w:lang w:val="en-US" w:eastAsia="zh-CN"/>
        </w:rPr>
        <w:t>300宗</w:t>
      </w:r>
      <w:r>
        <w:rPr>
          <w:rFonts w:hint="eastAsia" w:ascii="仿宋" w:hAnsi="仿宋" w:eastAsia="仿宋"/>
          <w:sz w:val="32"/>
          <w:szCs w:val="32"/>
          <w:lang w:val="en-US" w:eastAsia="zh-CN"/>
        </w:rPr>
        <w:t>初步判定为危房的农房</w:t>
      </w:r>
      <w:r>
        <w:rPr>
          <w:rFonts w:hint="eastAsia" w:ascii="仿宋" w:hAnsi="仿宋" w:eastAsia="仿宋"/>
          <w:sz w:val="32"/>
          <w:szCs w:val="32"/>
          <w:lang w:eastAsia="zh-CN"/>
        </w:rPr>
        <w:t>安全鉴定</w:t>
      </w:r>
      <w:r>
        <w:rPr>
          <w:rFonts w:hint="eastAsia" w:ascii="仿宋" w:hAnsi="仿宋" w:eastAsia="仿宋"/>
          <w:sz w:val="32"/>
          <w:lang w:eastAsia="zh-CN"/>
        </w:rPr>
        <w:t>工作，</w:t>
      </w:r>
      <w:r>
        <w:rPr>
          <w:rFonts w:hint="eastAsia" w:ascii="仿宋" w:hAnsi="仿宋" w:eastAsia="仿宋"/>
          <w:sz w:val="32"/>
          <w:lang w:val="en-US" w:eastAsia="zh-CN"/>
        </w:rPr>
        <w:t>为下步</w:t>
      </w:r>
      <w:r>
        <w:rPr>
          <w:rFonts w:hint="eastAsia" w:ascii="仿宋" w:hAnsi="仿宋" w:eastAsia="仿宋"/>
          <w:sz w:val="32"/>
          <w:szCs w:val="32"/>
          <w:lang w:eastAsia="zh-CN"/>
        </w:rPr>
        <w:t>农村房</w:t>
      </w:r>
      <w:r>
        <w:rPr>
          <w:rFonts w:hint="eastAsia" w:ascii="仿宋" w:hAnsi="仿宋" w:eastAsia="仿宋"/>
          <w:sz w:val="32"/>
          <w:szCs w:val="32"/>
          <w:lang w:val="en-US" w:eastAsia="zh-CN"/>
        </w:rPr>
        <w:t>屋安全隐患整治提供技术依据</w:t>
      </w:r>
      <w:r>
        <w:rPr>
          <w:rFonts w:hint="eastAsia" w:ascii="仿宋" w:hAnsi="仿宋" w:eastAsia="仿宋"/>
          <w:sz w:val="32"/>
        </w:rPr>
        <w:t>。</w:t>
      </w:r>
      <w:r>
        <w:rPr>
          <w:rFonts w:hint="eastAsia" w:ascii="仿宋" w:hAnsi="仿宋" w:eastAsia="仿宋"/>
          <w:sz w:val="32"/>
          <w:lang w:eastAsia="zh-CN"/>
        </w:rPr>
        <w:t>按实际完成户数支付服务费。</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 xml:space="preserve">五、承接标准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经合法注册</w:t>
      </w:r>
      <w:r>
        <w:rPr>
          <w:rFonts w:hint="eastAsia" w:ascii="仿宋" w:hAnsi="仿宋" w:eastAsia="仿宋"/>
          <w:sz w:val="32"/>
          <w:szCs w:val="32"/>
          <w:lang w:eastAsia="zh-CN"/>
        </w:rPr>
        <w:t>，具有</w:t>
      </w:r>
      <w:r>
        <w:rPr>
          <w:rFonts w:hint="eastAsia" w:ascii="仿宋" w:hAnsi="仿宋" w:eastAsia="仿宋"/>
          <w:sz w:val="32"/>
        </w:rPr>
        <w:t>房屋安全鉴定</w:t>
      </w:r>
      <w:r>
        <w:rPr>
          <w:rFonts w:hint="eastAsia" w:ascii="仿宋" w:hAnsi="仿宋" w:eastAsia="仿宋"/>
          <w:sz w:val="32"/>
          <w:lang w:eastAsia="zh-CN"/>
        </w:rPr>
        <w:t>资质，能</w:t>
      </w:r>
      <w:r>
        <w:rPr>
          <w:rFonts w:hint="eastAsia" w:ascii="仿宋" w:hAnsi="仿宋" w:eastAsia="仿宋"/>
          <w:sz w:val="32"/>
          <w:szCs w:val="32"/>
          <w:lang w:eastAsia="zh-CN"/>
        </w:rPr>
        <w:t>在服务时限内提供符合相关标准的</w:t>
      </w:r>
      <w:r>
        <w:rPr>
          <w:rFonts w:hint="eastAsia" w:ascii="仿宋" w:hAnsi="仿宋" w:eastAsia="仿宋"/>
          <w:sz w:val="32"/>
        </w:rPr>
        <w:t>房屋安全鉴定</w:t>
      </w:r>
      <w:r>
        <w:rPr>
          <w:rFonts w:hint="eastAsia" w:ascii="仿宋" w:hAnsi="仿宋" w:eastAsia="仿宋"/>
          <w:sz w:val="32"/>
          <w:lang w:eastAsia="zh-CN"/>
        </w:rPr>
        <w:t>的</w:t>
      </w:r>
      <w:r>
        <w:rPr>
          <w:rFonts w:hint="eastAsia" w:ascii="仿宋" w:hAnsi="仿宋" w:eastAsia="仿宋"/>
          <w:sz w:val="32"/>
          <w:szCs w:val="32"/>
        </w:rPr>
        <w:t>单位，自愿接受委托。</w:t>
      </w:r>
    </w:p>
    <w:p>
      <w:pPr>
        <w:spacing w:line="560" w:lineRule="exact"/>
        <w:ind w:firstLine="640" w:firstLineChars="200"/>
        <w:rPr>
          <w:rFonts w:ascii="仿宋" w:hAnsi="仿宋" w:eastAsia="仿宋"/>
          <w:sz w:val="32"/>
          <w:szCs w:val="32"/>
        </w:rPr>
      </w:pPr>
      <w:r>
        <w:rPr>
          <w:rFonts w:hint="eastAsia" w:ascii="仿宋" w:hAnsi="仿宋" w:eastAsia="仿宋"/>
          <w:sz w:val="32"/>
          <w:lang w:eastAsia="zh-CN"/>
        </w:rPr>
        <w:t>六、</w:t>
      </w:r>
      <w:r>
        <w:rPr>
          <w:rFonts w:hint="eastAsia" w:ascii="仿宋" w:hAnsi="仿宋" w:eastAsia="仿宋"/>
          <w:sz w:val="32"/>
          <w:szCs w:val="32"/>
        </w:rPr>
        <w:t xml:space="preserve">服务期限 </w:t>
      </w:r>
    </w:p>
    <w:p>
      <w:pPr>
        <w:spacing w:line="560" w:lineRule="exact"/>
        <w:ind w:firstLine="640" w:firstLineChars="200"/>
        <w:rPr>
          <w:rFonts w:hint="eastAsia" w:ascii="仿宋" w:hAnsi="仿宋" w:eastAsia="仿宋"/>
          <w:sz w:val="32"/>
          <w:szCs w:val="32"/>
        </w:rPr>
      </w:pPr>
      <w:r>
        <w:rPr>
          <w:rFonts w:hint="eastAsia" w:ascii="仿宋" w:hAnsi="仿宋" w:eastAsia="仿宋"/>
          <w:sz w:val="32"/>
          <w:lang w:eastAsia="zh-CN"/>
        </w:rPr>
        <w:t>拟从</w:t>
      </w:r>
      <w:r>
        <w:rPr>
          <w:rFonts w:hint="eastAsia" w:ascii="仿宋" w:hAnsi="仿宋" w:eastAsia="仿宋"/>
          <w:sz w:val="32"/>
          <w:lang w:val="en-US" w:eastAsia="zh-CN"/>
        </w:rPr>
        <w:t>2021年4月3日至</w:t>
      </w:r>
      <w:r>
        <w:rPr>
          <w:rFonts w:hint="eastAsia" w:ascii="仿宋" w:hAnsi="仿宋" w:eastAsia="仿宋"/>
          <w:sz w:val="32"/>
          <w:szCs w:val="32"/>
          <w:lang w:val="en-US" w:eastAsia="zh-CN"/>
        </w:rPr>
        <w:t>6</w:t>
      </w:r>
      <w:r>
        <w:rPr>
          <w:rFonts w:hint="eastAsia" w:ascii="仿宋" w:hAnsi="仿宋" w:eastAsia="仿宋"/>
          <w:sz w:val="32"/>
          <w:szCs w:val="32"/>
        </w:rPr>
        <w:t>月</w:t>
      </w:r>
      <w:r>
        <w:rPr>
          <w:rFonts w:hint="eastAsia" w:ascii="仿宋" w:hAnsi="仿宋" w:eastAsia="仿宋"/>
          <w:sz w:val="32"/>
          <w:szCs w:val="32"/>
          <w:lang w:val="en-US" w:eastAsia="zh-CN"/>
        </w:rPr>
        <w:t>30</w:t>
      </w:r>
      <w:r>
        <w:rPr>
          <w:rFonts w:hint="eastAsia" w:ascii="仿宋" w:hAnsi="仿宋" w:eastAsia="仿宋"/>
          <w:sz w:val="32"/>
          <w:szCs w:val="32"/>
        </w:rPr>
        <w:t>日</w:t>
      </w:r>
      <w:r>
        <w:rPr>
          <w:rFonts w:hint="eastAsia" w:ascii="仿宋" w:hAnsi="仿宋" w:eastAsia="仿宋"/>
          <w:sz w:val="32"/>
          <w:szCs w:val="32"/>
          <w:lang w:eastAsia="zh-CN"/>
        </w:rPr>
        <w:t>（</w:t>
      </w:r>
      <w:r>
        <w:rPr>
          <w:rFonts w:hint="eastAsia" w:ascii="仿宋" w:hAnsi="仿宋" w:eastAsia="仿宋"/>
          <w:sz w:val="32"/>
          <w:szCs w:val="32"/>
          <w:lang w:val="en-US" w:eastAsia="zh-CN"/>
        </w:rPr>
        <w:t>其中4</w:t>
      </w:r>
      <w:r>
        <w:rPr>
          <w:rFonts w:hint="eastAsia" w:ascii="仿宋" w:hAnsi="仿宋" w:eastAsia="仿宋"/>
          <w:sz w:val="32"/>
          <w:szCs w:val="32"/>
        </w:rPr>
        <w:t>月</w:t>
      </w:r>
      <w:r>
        <w:rPr>
          <w:rFonts w:hint="eastAsia" w:ascii="仿宋" w:hAnsi="仿宋" w:eastAsia="仿宋"/>
          <w:sz w:val="32"/>
          <w:szCs w:val="32"/>
          <w:lang w:val="en-US" w:eastAsia="zh-CN"/>
        </w:rPr>
        <w:t>30</w:t>
      </w:r>
      <w:r>
        <w:rPr>
          <w:rFonts w:hint="eastAsia" w:ascii="仿宋" w:hAnsi="仿宋" w:eastAsia="仿宋"/>
          <w:sz w:val="32"/>
          <w:szCs w:val="32"/>
        </w:rPr>
        <w:t>日</w:t>
      </w:r>
      <w:r>
        <w:rPr>
          <w:rFonts w:hint="eastAsia" w:ascii="仿宋" w:hAnsi="仿宋" w:eastAsia="仿宋"/>
          <w:sz w:val="32"/>
          <w:szCs w:val="32"/>
          <w:lang w:val="en-US" w:eastAsia="zh-CN"/>
        </w:rPr>
        <w:t>完成不少于60宗的鉴定）</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七、购买方式 </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根据《昆明市呈贡区人民政府办公室关于印发</w:t>
      </w:r>
      <w:r>
        <w:rPr>
          <w:rFonts w:hint="eastAsia" w:ascii="仿宋" w:hAnsi="仿宋" w:eastAsia="仿宋" w:cs="宋体"/>
          <w:sz w:val="32"/>
          <w:szCs w:val="32"/>
        </w:rPr>
        <w:t>&lt;昆明市呈贡区</w:t>
      </w:r>
      <w:r>
        <w:rPr>
          <w:rFonts w:hint="eastAsia" w:ascii="仿宋" w:hAnsi="仿宋" w:eastAsia="仿宋"/>
          <w:sz w:val="32"/>
          <w:szCs w:val="32"/>
        </w:rPr>
        <w:t>推进政府购买服务的实施意见（暂行）</w:t>
      </w:r>
      <w:r>
        <w:rPr>
          <w:rFonts w:hint="eastAsia" w:ascii="仿宋" w:hAnsi="仿宋" w:eastAsia="仿宋" w:cs="宋体"/>
          <w:sz w:val="32"/>
          <w:szCs w:val="32"/>
        </w:rPr>
        <w:t>&gt;的通知</w:t>
      </w:r>
      <w:r>
        <w:rPr>
          <w:rFonts w:hint="eastAsia" w:ascii="仿宋" w:hAnsi="仿宋" w:eastAsia="仿宋"/>
          <w:sz w:val="32"/>
          <w:szCs w:val="32"/>
        </w:rPr>
        <w:t>》（呈政办发〔2016〕97号）等相关文件要求，考虑部门经费预算实际，拟通过部门</w:t>
      </w:r>
      <w:r>
        <w:rPr>
          <w:rFonts w:hint="eastAsia" w:ascii="仿宋" w:hAnsi="仿宋" w:eastAsia="仿宋"/>
          <w:sz w:val="32"/>
          <w:szCs w:val="32"/>
          <w:lang w:eastAsia="zh-CN"/>
        </w:rPr>
        <w:t>询价比选</w:t>
      </w:r>
      <w:r>
        <w:rPr>
          <w:rFonts w:hint="eastAsia" w:ascii="仿宋" w:hAnsi="仿宋" w:eastAsia="仿宋"/>
          <w:sz w:val="32"/>
          <w:szCs w:val="32"/>
        </w:rPr>
        <w:t>方式确定承接主体，按照单位财务内控管理要求办理。</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请符合条件、有意向的单位于2021年3月31日16:00前将营业执照、资质、业绩证明、报价表、法人授权委托书、实施方案等资料密封完整后送至昆明市呈贡区住房和城乡建设局城乡建设科。</w:t>
      </w:r>
    </w:p>
    <w:p>
      <w:pPr>
        <w:pStyle w:val="6"/>
        <w:widowControl w:val="0"/>
        <w:adjustRightInd w:val="0"/>
        <w:snapToGrid w:val="0"/>
        <w:spacing w:line="560" w:lineRule="exact"/>
        <w:jc w:val="center"/>
        <w:rPr>
          <w:rFonts w:ascii="仿宋" w:hAnsi="仿宋" w:eastAsia="仿宋"/>
          <w:sz w:val="32"/>
          <w:szCs w:val="32"/>
        </w:rPr>
      </w:pPr>
    </w:p>
    <w:p>
      <w:pPr>
        <w:spacing w:line="560" w:lineRule="exact"/>
        <w:jc w:val="right"/>
        <w:rPr>
          <w:rFonts w:ascii="仿宋" w:hAnsi="仿宋" w:eastAsia="仿宋" w:cs="仿宋_GB2312"/>
          <w:sz w:val="32"/>
          <w:szCs w:val="32"/>
          <w:lang w:val="zh-CN"/>
        </w:rPr>
      </w:pPr>
      <w:r>
        <w:rPr>
          <w:rFonts w:hint="eastAsia" w:ascii="仿宋" w:hAnsi="仿宋" w:eastAsia="仿宋" w:cs="仿宋_GB2312"/>
          <w:sz w:val="32"/>
          <w:szCs w:val="32"/>
          <w:lang w:val="zh-CN"/>
        </w:rPr>
        <w:t>昆明市呈贡区</w:t>
      </w:r>
      <w:r>
        <w:rPr>
          <w:rFonts w:hint="eastAsia" w:ascii="仿宋" w:hAnsi="仿宋" w:eastAsia="仿宋" w:cs="仿宋_GB2312"/>
          <w:sz w:val="32"/>
          <w:szCs w:val="32"/>
          <w:lang w:eastAsia="zh-CN"/>
        </w:rPr>
        <w:t>住</w:t>
      </w:r>
      <w:r>
        <w:rPr>
          <w:sz w:val="32"/>
        </w:rPr>
        <w:pict>
          <v:shape id="_x0000_s1027" o:spid="_x0000_s1027" o:spt="201" alt="" type="#_x0000_t201" style="position:absolute;left:0pt;margin-left:244.2pt;margin-top:-41.8pt;height:128pt;width:128pt;z-index:251658240;mso-width-relative:page;mso-height-relative:page;" o:ole="t" filled="f" o:preferrelative="t" stroked="f" coordsize="21600,21600">
            <v:path/>
            <v:fill on="f" focussize="0,0"/>
            <v:stroke on="f"/>
            <v:imagedata r:id="rId6" o:title=""/>
            <o:lock v:ext="edit" aspectratio="f"/>
          </v:shape>
          <w:control r:id="rId5" w:name="CWordOLECtrl1" w:shapeid="_x0000_s1027"/>
        </w:pict>
      </w:r>
      <w:r>
        <w:rPr>
          <w:rFonts w:hint="eastAsia" w:ascii="仿宋" w:hAnsi="仿宋" w:eastAsia="仿宋" w:cs="仿宋_GB2312"/>
          <w:sz w:val="32"/>
          <w:szCs w:val="32"/>
          <w:lang w:eastAsia="zh-CN"/>
        </w:rPr>
        <w:t>房和城乡建设</w:t>
      </w:r>
      <w:r>
        <w:rPr>
          <w:rFonts w:hint="eastAsia" w:ascii="仿宋" w:hAnsi="仿宋" w:eastAsia="仿宋" w:cs="仿宋_GB2312"/>
          <w:sz w:val="32"/>
          <w:szCs w:val="32"/>
          <w:lang w:val="zh-CN"/>
        </w:rPr>
        <w:t>局</w:t>
      </w:r>
    </w:p>
    <w:p>
      <w:pPr>
        <w:spacing w:line="560" w:lineRule="exact"/>
        <w:ind w:right="745" w:rightChars="355"/>
        <w:jc w:val="right"/>
        <w:rPr>
          <w:rFonts w:ascii="仿宋" w:hAnsi="仿宋" w:eastAsia="仿宋" w:cs="仿宋_GB2312"/>
          <w:sz w:val="32"/>
          <w:szCs w:val="32"/>
          <w:lang w:val="zh-CN"/>
        </w:rPr>
      </w:pPr>
      <w:r>
        <w:rPr>
          <w:rFonts w:hint="eastAsia" w:ascii="仿宋" w:hAnsi="仿宋" w:eastAsia="仿宋" w:cs="仿宋_GB2312"/>
          <w:sz w:val="32"/>
          <w:szCs w:val="32"/>
          <w:lang w:val="zh-CN"/>
        </w:rPr>
        <w:t>20</w:t>
      </w:r>
      <w:r>
        <w:rPr>
          <w:rFonts w:hint="eastAsia" w:ascii="仿宋" w:hAnsi="仿宋" w:eastAsia="仿宋" w:cs="仿宋_GB2312"/>
          <w:sz w:val="32"/>
          <w:szCs w:val="32"/>
          <w:lang w:val="en-US" w:eastAsia="zh-CN"/>
        </w:rPr>
        <w:t>21</w:t>
      </w:r>
      <w:r>
        <w:rPr>
          <w:rFonts w:hint="eastAsia" w:ascii="仿宋" w:hAnsi="仿宋" w:eastAsia="仿宋" w:cs="仿宋_GB2312"/>
          <w:sz w:val="32"/>
          <w:szCs w:val="32"/>
          <w:lang w:val="zh-CN"/>
        </w:rPr>
        <w:t>年</w:t>
      </w:r>
      <w:r>
        <w:rPr>
          <w:rFonts w:hint="eastAsia" w:ascii="仿宋" w:hAnsi="仿宋" w:eastAsia="仿宋" w:cs="仿宋_GB2312"/>
          <w:sz w:val="32"/>
          <w:szCs w:val="32"/>
          <w:lang w:val="en-US" w:eastAsia="zh-CN"/>
        </w:rPr>
        <w:t>3</w:t>
      </w:r>
      <w:r>
        <w:rPr>
          <w:rFonts w:hint="eastAsia" w:ascii="仿宋" w:hAnsi="仿宋" w:eastAsia="仿宋" w:cs="仿宋_GB2312"/>
          <w:sz w:val="32"/>
          <w:szCs w:val="32"/>
          <w:lang w:val="zh-CN"/>
        </w:rPr>
        <w:t>月</w:t>
      </w:r>
      <w:r>
        <w:rPr>
          <w:rFonts w:hint="eastAsia" w:ascii="仿宋" w:hAnsi="仿宋" w:eastAsia="仿宋" w:cs="仿宋_GB2312"/>
          <w:sz w:val="32"/>
          <w:szCs w:val="32"/>
          <w:lang w:val="en-US" w:eastAsia="zh-CN"/>
        </w:rPr>
        <w:t>26</w:t>
      </w:r>
      <w:r>
        <w:rPr>
          <w:rFonts w:hint="eastAsia" w:ascii="仿宋" w:hAnsi="仿宋" w:eastAsia="仿宋" w:cs="仿宋_GB2312"/>
          <w:sz w:val="32"/>
          <w:szCs w:val="32"/>
          <w:lang w:val="zh-CN"/>
        </w:rPr>
        <w:t>日</w:t>
      </w:r>
    </w:p>
    <w:p>
      <w:pPr>
        <w:spacing w:line="560" w:lineRule="exact"/>
        <w:jc w:val="right"/>
        <w:rPr>
          <w:rFonts w:ascii="仿宋" w:hAnsi="仿宋" w:eastAsia="仿宋" w:cs="仿宋_GB2312"/>
          <w:sz w:val="32"/>
          <w:szCs w:val="32"/>
          <w:lang w:val="zh-CN"/>
        </w:rPr>
      </w:pPr>
    </w:p>
    <w:p>
      <w:pPr>
        <w:spacing w:line="560" w:lineRule="exact"/>
        <w:rPr>
          <w:rFonts w:hint="eastAsia" w:ascii="仿宋" w:hAnsi="仿宋" w:eastAsia="仿宋" w:cs="仿宋_GB2312"/>
          <w:sz w:val="32"/>
          <w:szCs w:val="32"/>
          <w:lang w:val="zh-CN"/>
        </w:rPr>
      </w:pPr>
    </w:p>
    <w:p>
      <w:pPr>
        <w:spacing w:line="560" w:lineRule="exact"/>
        <w:rPr>
          <w:rFonts w:hint="eastAsia" w:ascii="仿宋" w:hAnsi="仿宋" w:eastAsia="仿宋" w:cs="仿宋_GB2312"/>
          <w:sz w:val="32"/>
          <w:szCs w:val="32"/>
          <w:lang w:val="zh-CN"/>
        </w:rPr>
      </w:pPr>
    </w:p>
    <w:p>
      <w:pPr>
        <w:spacing w:line="560" w:lineRule="exact"/>
        <w:jc w:val="center"/>
        <w:rPr>
          <w:rFonts w:ascii="仿宋" w:hAnsi="仿宋" w:eastAsia="仿宋" w:cs="微软雅黑"/>
          <w:sz w:val="32"/>
          <w:szCs w:val="32"/>
        </w:rPr>
      </w:pPr>
      <w:r>
        <w:rPr>
          <w:rFonts w:hint="eastAsia" w:ascii="仿宋" w:hAnsi="仿宋" w:eastAsia="仿宋" w:cs="仿宋_GB2312"/>
          <w:sz w:val="32"/>
          <w:szCs w:val="32"/>
          <w:lang w:val="zh-CN"/>
        </w:rPr>
        <w:t>(联系人：</w:t>
      </w:r>
      <w:r>
        <w:rPr>
          <w:rFonts w:hint="eastAsia" w:ascii="仿宋" w:hAnsi="仿宋" w:eastAsia="仿宋" w:cs="仿宋_GB2312"/>
          <w:sz w:val="32"/>
          <w:szCs w:val="32"/>
          <w:lang w:eastAsia="zh-CN"/>
        </w:rPr>
        <w:t>张康</w:t>
      </w:r>
      <w:r>
        <w:rPr>
          <w:rFonts w:hint="eastAsia" w:ascii="仿宋" w:hAnsi="仿宋" w:eastAsia="仿宋" w:cs="仿宋_GB2312"/>
          <w:sz w:val="32"/>
          <w:szCs w:val="32"/>
          <w:lang w:val="zh-CN"/>
        </w:rPr>
        <w:t xml:space="preserve"> 联系电话：</w:t>
      </w:r>
      <w:r>
        <w:rPr>
          <w:rFonts w:hint="eastAsia" w:ascii="仿宋" w:hAnsi="仿宋" w:eastAsia="仿宋" w:cs="仿宋_GB2312"/>
          <w:sz w:val="32"/>
          <w:szCs w:val="32"/>
          <w:lang w:val="en-US" w:eastAsia="zh-CN"/>
        </w:rPr>
        <w:t>0871-67479442</w:t>
      </w:r>
      <w:r>
        <w:rPr>
          <w:rFonts w:hint="eastAsia" w:ascii="仿宋" w:hAnsi="仿宋" w:eastAsia="仿宋" w:cs="仿宋_GB2312"/>
          <w:sz w:val="32"/>
          <w:szCs w:val="32"/>
          <w:lang w:val="zh-CN"/>
        </w:rPr>
        <w:t>)</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embedSystemFonts/>
  <w:bordersDoNotSurroundHeader w:val="1"/>
  <w:bordersDoNotSurroundFooter w:val="1"/>
  <w:documentProtection w:edit="forms" w:enforcement="1" w:cryptProviderType="rsaFull" w:cryptAlgorithmClass="hash" w:cryptAlgorithmType="typeAny" w:cryptAlgorithmSid="4" w:cryptSpinCount="0" w:hash="NAj38ffE3uibjbvc+kVTjAOsRUA=" w:salt="ewevdf0L9afjo03g75fnb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C40CE6"/>
    <w:rsid w:val="08D30949"/>
    <w:rsid w:val="23C40CE6"/>
    <w:rsid w:val="2B154438"/>
    <w:rsid w:val="301B460E"/>
    <w:rsid w:val="32472643"/>
    <w:rsid w:val="42A068E6"/>
    <w:rsid w:val="4C140E98"/>
    <w:rsid w:val="5A263A1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control" Target="activeX/activeX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2021-03-29T08:12:00Z</dcterms:created>
  <dc:creator>HP</dc:creator>
  <cp:lastModifiedBy>Administrator</cp:lastModifiedBy>
  <cp:lastPrinted>2021-03-29T08:40:00Z</cp:lastPrinted>
  <dcterms:modified xsi:type="dcterms:W3CDTF">2021-03-30T06:36:37Z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docranid">
    <vt:lpwstr>5295B8CE40564FE4B6ED68E61CE33679</vt:lpwstr>
  </property>
</Properties>
</file>