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hAnsi="华文中宋" w:eastAsia="方正小标宋简体"/>
          <w:spacing w:val="14"/>
          <w:sz w:val="44"/>
          <w:szCs w:val="44"/>
        </w:rPr>
      </w:pPr>
      <w:bookmarkStart w:id="0" w:name="_GoBack"/>
      <w:bookmarkEnd w:id="0"/>
    </w:p>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昆明呈贡区教育体育局2020年民办教育发展</w:t>
      </w:r>
    </w:p>
    <w:p>
      <w:pPr>
        <w:snapToGrid w:val="0"/>
        <w:spacing w:line="570" w:lineRule="exact"/>
        <w:jc w:val="center"/>
        <w:rPr>
          <w:rFonts w:ascii="方正小标宋简体" w:hAnsi="华文中宋" w:eastAsia="方正小标宋简体"/>
          <w:spacing w:val="14"/>
          <w:sz w:val="36"/>
          <w:szCs w:val="36"/>
        </w:rPr>
      </w:pPr>
      <w:r>
        <w:rPr>
          <w:rFonts w:hint="eastAsia" w:ascii="方正小标宋简体" w:eastAsia="方正小标宋简体"/>
          <w:sz w:val="36"/>
          <w:szCs w:val="36"/>
        </w:rPr>
        <w:t>专项资金</w:t>
      </w:r>
      <w:r>
        <w:rPr>
          <w:rFonts w:hint="eastAsia" w:ascii="方正小标宋简体" w:hAnsi="华文中宋" w:eastAsia="方正小标宋简体"/>
          <w:spacing w:val="14"/>
          <w:sz w:val="36"/>
          <w:szCs w:val="36"/>
        </w:rPr>
        <w:t>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600" w:firstLineChars="200"/>
        <w:jc w:val="left"/>
        <w:rPr>
          <w:rFonts w:eastAsia="仿宋_GB2312"/>
          <w:kern w:val="0"/>
          <w:sz w:val="30"/>
          <w:szCs w:val="30"/>
        </w:rPr>
      </w:pPr>
      <w:r>
        <w:rPr>
          <w:rFonts w:hint="eastAsia" w:eastAsia="仿宋_GB2312"/>
          <w:kern w:val="0"/>
          <w:sz w:val="30"/>
          <w:szCs w:val="30"/>
        </w:rPr>
        <w:t>民办教育发展专项资金</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eastAsia="仿宋_GB2312"/>
          <w:kern w:val="0"/>
          <w:sz w:val="30"/>
          <w:szCs w:val="30"/>
        </w:rPr>
      </w:pPr>
      <w:r>
        <w:rPr>
          <w:rFonts w:hint="eastAsia" w:eastAsia="仿宋_GB2312"/>
          <w:kern w:val="0"/>
          <w:sz w:val="30"/>
          <w:szCs w:val="30"/>
        </w:rPr>
        <w:t>按照国家对民办教育“积极鼓励、大力支持、正确引导、依法管理”的方针，为推进呈贡区民办教育健康持续发展，根据《中华人民共和国民办教育促进法》、《昆明市突破性发展民办教育整体推进工作的意见》（昆发办〔2009〕12号）、《呈贡新区管委会 呈贡县人民政府关于突破性发展民办教育整体推进工作的实施意见》（呈新管发〔2009〕33号）、《关于进一步加快呈贡新区教育改革与发展的决定》（呈新工发〔2013〕11号）等文件要求，特修订了《昆明市呈贡区民办教育发展专项资金管理办法》（2017年修订），管理办法中规定，由区级财政在年度教育经费预算中安排专项资金，并按照财政对教育投入的比例同步增长。2020年，呈贡区政府下发《昆明市呈贡区人民政府关于支持和规范社会力量兴办教育促进民办教育健康发展的实施方案》，区财政通过既有资金渠道，支持全区民办教育更好更快发展。继续设立呈贡区民办教育发展专项资金，由区级财政列入年度教育经费预算安排，鼓励发展优质民办教育，扶持民办义务教育及学前教育。根据国家、省市相关法律法规及时修订呈贡区民办教育发展专项资金管理办法，加强专项资金管理使用，支持呈贡民办教育的发展。</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eastAsia="仿宋_GB2312"/>
          <w:kern w:val="0"/>
          <w:sz w:val="30"/>
          <w:szCs w:val="30"/>
        </w:rPr>
      </w:pPr>
      <w:r>
        <w:rPr>
          <w:rFonts w:hint="eastAsia" w:eastAsia="仿宋_GB2312"/>
          <w:kern w:val="0"/>
          <w:sz w:val="30"/>
          <w:szCs w:val="30"/>
        </w:rPr>
        <w:t>单位名称：昆明市呈贡区教育体育局</w:t>
      </w:r>
    </w:p>
    <w:p>
      <w:pPr>
        <w:widowControl/>
        <w:ind w:firstLine="600" w:firstLineChars="200"/>
        <w:jc w:val="left"/>
        <w:rPr>
          <w:rFonts w:eastAsia="仿宋_GB2312"/>
          <w:kern w:val="0"/>
          <w:sz w:val="30"/>
          <w:szCs w:val="30"/>
        </w:rPr>
      </w:pPr>
      <w:r>
        <w:rPr>
          <w:rFonts w:hint="eastAsia" w:eastAsia="仿宋_GB2312"/>
          <w:kern w:val="0"/>
          <w:sz w:val="30"/>
          <w:szCs w:val="30"/>
        </w:rPr>
        <w:t>组织机构代码：11530121MB158428XW</w:t>
      </w:r>
    </w:p>
    <w:p>
      <w:pPr>
        <w:widowControl/>
        <w:ind w:firstLine="600" w:firstLineChars="200"/>
        <w:jc w:val="left"/>
        <w:rPr>
          <w:rFonts w:eastAsia="仿宋_GB2312"/>
          <w:kern w:val="0"/>
          <w:sz w:val="30"/>
          <w:szCs w:val="30"/>
        </w:rPr>
      </w:pPr>
      <w:r>
        <w:rPr>
          <w:rFonts w:hint="eastAsia" w:eastAsia="仿宋_GB2312"/>
          <w:kern w:val="0"/>
          <w:sz w:val="30"/>
          <w:szCs w:val="30"/>
        </w:rPr>
        <w:t>地址：昆明市呈贡区春融街779号上海东盟大厦B座6楼</w:t>
      </w:r>
    </w:p>
    <w:p>
      <w:pPr>
        <w:widowControl/>
        <w:ind w:firstLine="600" w:firstLineChars="200"/>
        <w:jc w:val="left"/>
        <w:rPr>
          <w:rFonts w:eastAsia="仿宋_GB2312"/>
          <w:kern w:val="0"/>
          <w:sz w:val="30"/>
          <w:szCs w:val="30"/>
        </w:rPr>
      </w:pPr>
      <w:r>
        <w:rPr>
          <w:rFonts w:hint="eastAsia" w:eastAsia="仿宋_GB2312"/>
          <w:kern w:val="0"/>
          <w:sz w:val="30"/>
          <w:szCs w:val="30"/>
        </w:rPr>
        <w:t>联系电话：67478393</w:t>
      </w:r>
    </w:p>
    <w:p>
      <w:pPr>
        <w:widowControl/>
        <w:ind w:firstLine="600" w:firstLineChars="200"/>
        <w:jc w:val="left"/>
        <w:rPr>
          <w:rFonts w:eastAsia="仿宋_GB2312"/>
          <w:kern w:val="0"/>
          <w:sz w:val="30"/>
          <w:szCs w:val="30"/>
        </w:rPr>
      </w:pPr>
      <w:r>
        <w:rPr>
          <w:rFonts w:hint="eastAsia" w:eastAsia="仿宋_GB2312"/>
          <w:kern w:val="0"/>
          <w:sz w:val="30"/>
          <w:szCs w:val="30"/>
        </w:rPr>
        <w:t>法人代表：朱辉</w:t>
      </w:r>
    </w:p>
    <w:p>
      <w:pPr>
        <w:widowControl/>
        <w:ind w:firstLine="600" w:firstLineChars="200"/>
        <w:jc w:val="left"/>
        <w:rPr>
          <w:rFonts w:eastAsia="仿宋_GB2312"/>
          <w:kern w:val="0"/>
          <w:sz w:val="30"/>
          <w:szCs w:val="30"/>
        </w:rPr>
      </w:pPr>
      <w:r>
        <w:rPr>
          <w:rFonts w:hint="eastAsia" w:eastAsia="仿宋_GB2312"/>
          <w:kern w:val="0"/>
          <w:sz w:val="30"/>
          <w:szCs w:val="30"/>
        </w:rPr>
        <w:t>经费来源：区级财政拨款</w:t>
      </w:r>
    </w:p>
    <w:p>
      <w:pPr>
        <w:widowControl/>
        <w:ind w:firstLine="600" w:firstLineChars="200"/>
        <w:jc w:val="left"/>
        <w:rPr>
          <w:rFonts w:eastAsia="仿宋_GB2312"/>
          <w:kern w:val="0"/>
          <w:sz w:val="30"/>
          <w:szCs w:val="30"/>
        </w:rPr>
      </w:pPr>
      <w:r>
        <w:rPr>
          <w:rFonts w:hint="eastAsia" w:eastAsia="仿宋_GB2312"/>
          <w:kern w:val="0"/>
          <w:sz w:val="30"/>
          <w:szCs w:val="30"/>
        </w:rPr>
        <w:t>单位概况：</w:t>
      </w:r>
    </w:p>
    <w:p>
      <w:pPr>
        <w:widowControl/>
        <w:ind w:firstLine="600" w:firstLineChars="200"/>
        <w:jc w:val="left"/>
        <w:rPr>
          <w:rFonts w:eastAsia="仿宋_GB2312"/>
          <w:kern w:val="0"/>
          <w:sz w:val="30"/>
          <w:szCs w:val="30"/>
        </w:rPr>
      </w:pP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eastAsia="仿宋_GB2312"/>
          <w:kern w:val="0"/>
          <w:sz w:val="30"/>
          <w:szCs w:val="30"/>
        </w:rPr>
      </w:pPr>
      <w:r>
        <w:rPr>
          <w:rFonts w:hint="eastAsia" w:eastAsia="仿宋_GB2312"/>
          <w:kern w:val="0"/>
          <w:sz w:val="30"/>
          <w:szCs w:val="30"/>
        </w:rPr>
        <w:t>为全面贯彻国家对民办教育“积极鼓励、大力支持、正确引导、依法管理”的方针，建立促进民办教育的长效机制，加强呈贡区民办教育发展专项资金的管理，最大限度的发挥资金使用效益，根据《中华人民共和国民办教育促进法》、《昆明市突破性发展民办教育整体推进工作意见》、《呈贡新区管委会呈贡县人民政府关于突破性发展民办教育整体推进工作的实施意见》等文件要求，区财政对我区民办学校进行了相关补助。</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ascii="黑体" w:hAnsi="黑体" w:eastAsia="黑体" w:cs="黑体"/>
          <w:kern w:val="0"/>
          <w:sz w:val="30"/>
          <w:szCs w:val="30"/>
        </w:rPr>
      </w:pPr>
      <w:r>
        <w:rPr>
          <w:rFonts w:hint="eastAsia" w:eastAsia="仿宋_GB2312"/>
          <w:kern w:val="0"/>
          <w:sz w:val="30"/>
          <w:szCs w:val="30"/>
        </w:rPr>
        <w:t>民办教育发展专项资金用于呈贡区表彰年度检审优秀，新开办校（园）补助，办学水平等级，公建民营中小学和普惠性民办幼儿园补助，申报省市项目配套资金补助，教研活动工作经费补助，民办年检评审工作经费补助，资金审计专项经费，培训经费等。</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ascii="黑体" w:hAnsi="黑体" w:eastAsia="黑体" w:cs="黑体"/>
          <w:kern w:val="0"/>
          <w:sz w:val="30"/>
          <w:szCs w:val="30"/>
        </w:rPr>
      </w:pPr>
      <w:r>
        <w:rPr>
          <w:rFonts w:hint="eastAsia" w:eastAsia="仿宋_GB2312"/>
          <w:kern w:val="0"/>
          <w:sz w:val="30"/>
          <w:szCs w:val="30"/>
        </w:rPr>
        <w:t>区级民办教育发展专项资金：对2020年年检考核评分达到优秀的民办学校（园）按规定给予奖励，发放年度检审优秀奖；新开班幼儿园补助；对办学水平上升等级的民办学校（园）给予办学水平等级补助；对符合公建民营性质的民办学校和普惠性幼儿园给予补助；对申报省市项目配套资金的民办学校给予补助；以及民办中小学、幼儿园和短期培训学校年检评审、表彰、奖牌、标语、宣传资料制作费用共计580万元。</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eastAsia="仿宋_GB2312"/>
          <w:kern w:val="0"/>
          <w:sz w:val="30"/>
          <w:szCs w:val="30"/>
        </w:rPr>
      </w:pPr>
      <w:r>
        <w:rPr>
          <w:rFonts w:hint="eastAsia" w:eastAsia="仿宋_GB2312"/>
          <w:kern w:val="0"/>
          <w:sz w:val="30"/>
          <w:szCs w:val="30"/>
        </w:rPr>
        <w:t>2020年预算民办教育专项资金580万元。预计将根据昆明市教育体育局通知于2020年10月开展呈贡区民办教育机构年检工作，并根据年检结果向符合《昆明市呈贡区民办教育发展专项资金管理办法》（2017年修订）文件条件的各校（园）发放各类补助及奖励，并支付民办中小学、幼儿园和短期培训学校年检评审、表彰、奖牌、标语、宣传资料等制作费用。该项资金将于当年支出完毕。</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项目实施成效</w:t>
      </w:r>
    </w:p>
    <w:p>
      <w:pPr>
        <w:widowControl/>
        <w:ind w:firstLine="600" w:firstLineChars="200"/>
        <w:jc w:val="left"/>
        <w:rPr>
          <w:rFonts w:eastAsia="仿宋_GB2312"/>
          <w:kern w:val="0"/>
          <w:sz w:val="30"/>
          <w:szCs w:val="30"/>
        </w:rPr>
      </w:pPr>
      <w:r>
        <w:rPr>
          <w:rFonts w:hint="eastAsia" w:eastAsia="仿宋_GB2312"/>
          <w:kern w:val="0"/>
          <w:sz w:val="30"/>
          <w:szCs w:val="30"/>
        </w:rPr>
        <w:t>随着呈贡经济建设的发展，外来人口的增加，导致教育负担加重。民办教育在一定程度上分解了政府的教育负担，增加了教育供给方式的多样性和选择性，满足了社会不同层次的人对教育的需求。通过项目实施使办学优秀的民办学校得到部分财政资金的支持，用于改善民办学校的办学条件，为呈贡区域内的中小学生、学龄前儿童提供更多更好的教育资源和优越成长环境，促进了民办教育的均衡发展。</w:t>
      </w:r>
    </w:p>
    <w:p>
      <w:pPr>
        <w:widowControl/>
        <w:ind w:firstLine="600" w:firstLineChars="200"/>
        <w:jc w:val="left"/>
        <w:rPr>
          <w:rFonts w:eastAsia="仿宋_GB2312"/>
          <w:kern w:val="0"/>
          <w:sz w:val="30"/>
          <w:szCs w:val="30"/>
        </w:rPr>
      </w:pPr>
      <w:r>
        <w:rPr>
          <w:rFonts w:hint="eastAsia" w:eastAsia="仿宋_GB2312"/>
          <w:kern w:val="0"/>
          <w:sz w:val="30"/>
          <w:szCs w:val="30"/>
        </w:rPr>
        <w:t>2020年，呈贡辖区内共有中小学32所。其中，小学18所（公办13所，民办5所），九年一贯制学校3所（公办2所，民办1所），完全中学5所（公办2所，民办3所），十二年一贯制学校6所（公办1所、民办5所）。有中小学在校生47862人。其中，小学生23845人，初中生14238人，高中生9779人，在公办学校就读的学生有26025人（小学生16666人、初中生5431人、高中3928人），在民办学校就读的学生有21837人（小学生7179人、初中生8807人、高中生5851人）。有中小学教职工3716人，其中有专任教师3362人。有幼儿园56所（公办8所，民办48所），在园幼儿14411人（公办幼儿园4769人，民办幼儿园9642人）。幼儿园教职工共2115人，其中有专任教师1025人。有培训机构121所。</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9"/>
        <w:tblW w:w="8342" w:type="dxa"/>
        <w:tblInd w:w="0" w:type="dxa"/>
        <w:tblLayout w:type="fixed"/>
        <w:tblCellMar>
          <w:top w:w="15" w:type="dxa"/>
          <w:left w:w="15" w:type="dxa"/>
          <w:bottom w:w="15" w:type="dxa"/>
          <w:right w:w="15" w:type="dxa"/>
        </w:tblCellMar>
      </w:tblPr>
      <w:tblGrid>
        <w:gridCol w:w="294"/>
        <w:gridCol w:w="453"/>
        <w:gridCol w:w="539"/>
        <w:gridCol w:w="160"/>
        <w:gridCol w:w="1302"/>
        <w:gridCol w:w="248"/>
        <w:gridCol w:w="1043"/>
        <w:gridCol w:w="654"/>
        <w:gridCol w:w="678"/>
        <w:gridCol w:w="170"/>
        <w:gridCol w:w="1462"/>
        <w:gridCol w:w="1339"/>
      </w:tblGrid>
      <w:tr>
        <w:tblPrEx>
          <w:tblLayout w:type="fixed"/>
          <w:tblCellMar>
            <w:top w:w="15" w:type="dxa"/>
            <w:left w:w="15" w:type="dxa"/>
            <w:bottom w:w="15" w:type="dxa"/>
            <w:right w:w="15" w:type="dxa"/>
          </w:tblCellMar>
        </w:tblPrEx>
        <w:trPr>
          <w:trHeight w:val="465" w:hRule="atLeast"/>
        </w:trPr>
        <w:tc>
          <w:tcPr>
            <w:tcW w:w="8342" w:type="dxa"/>
            <w:gridSpan w:val="1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项目支出绩效目标申报表（生成表）</w:t>
            </w:r>
          </w:p>
        </w:tc>
      </w:tr>
      <w:tr>
        <w:tblPrEx>
          <w:tblLayout w:type="fixed"/>
          <w:tblCellMar>
            <w:top w:w="15" w:type="dxa"/>
            <w:left w:w="15" w:type="dxa"/>
            <w:bottom w:w="15" w:type="dxa"/>
            <w:right w:w="15" w:type="dxa"/>
          </w:tblCellMar>
        </w:tblPrEx>
        <w:trPr>
          <w:trHeight w:val="465" w:hRule="atLeast"/>
        </w:trPr>
        <w:tc>
          <w:tcPr>
            <w:tcW w:w="8342" w:type="dxa"/>
            <w:gridSpan w:val="1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（2020年度）</w:t>
            </w:r>
          </w:p>
        </w:tc>
      </w:tr>
      <w:tr>
        <w:tblPrEx>
          <w:tblLayout w:type="fixed"/>
          <w:tblCellMar>
            <w:top w:w="15" w:type="dxa"/>
            <w:left w:w="15" w:type="dxa"/>
            <w:bottom w:w="15" w:type="dxa"/>
            <w:right w:w="15" w:type="dxa"/>
          </w:tblCellMar>
        </w:tblPrEx>
        <w:trPr>
          <w:trHeight w:val="48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w:t>
            </w:r>
          </w:p>
        </w:tc>
        <w:tc>
          <w:tcPr>
            <w:tcW w:w="7056"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民办教育发展专项资金</w:t>
            </w:r>
          </w:p>
        </w:tc>
      </w:tr>
      <w:tr>
        <w:tblPrEx>
          <w:tblLayout w:type="fixed"/>
          <w:tblCellMar>
            <w:top w:w="15" w:type="dxa"/>
            <w:left w:w="15" w:type="dxa"/>
            <w:bottom w:w="15" w:type="dxa"/>
            <w:right w:w="15" w:type="dxa"/>
          </w:tblCellMar>
        </w:tblPrEx>
        <w:trPr>
          <w:trHeight w:val="54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主管部门及代码</w:t>
            </w:r>
          </w:p>
        </w:tc>
        <w:tc>
          <w:tcPr>
            <w:tcW w:w="27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昆明市呈贡区教育局</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实施单位</w:t>
            </w:r>
          </w:p>
        </w:tc>
        <w:tc>
          <w:tcPr>
            <w:tcW w:w="28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昆明市呈贡区教育体育局</w:t>
            </w:r>
          </w:p>
        </w:tc>
      </w:tr>
      <w:tr>
        <w:tblPrEx>
          <w:tblLayout w:type="fixed"/>
          <w:tblCellMar>
            <w:top w:w="15" w:type="dxa"/>
            <w:left w:w="15" w:type="dxa"/>
            <w:bottom w:w="15" w:type="dxa"/>
            <w:right w:w="15" w:type="dxa"/>
          </w:tblCellMar>
        </w:tblPrEx>
        <w:trPr>
          <w:trHeight w:val="48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项目属性</w:t>
            </w:r>
          </w:p>
        </w:tc>
        <w:tc>
          <w:tcPr>
            <w:tcW w:w="2753" w:type="dxa"/>
            <w:gridSpan w:val="4"/>
            <w:tcBorders>
              <w:bottom w:val="single" w:color="000000" w:sz="4" w:space="0"/>
              <w:right w:val="single" w:color="000000" w:sz="4" w:space="0"/>
            </w:tcBorders>
            <w:shd w:val="clear" w:color="auto" w:fill="F8F8F8"/>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002 延续性项目</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项目期</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经常性项目</w:t>
            </w:r>
          </w:p>
        </w:tc>
      </w:tr>
      <w:tr>
        <w:tblPrEx>
          <w:tblLayout w:type="fixed"/>
          <w:tblCellMar>
            <w:top w:w="15" w:type="dxa"/>
            <w:left w:w="15" w:type="dxa"/>
            <w:bottom w:w="15" w:type="dxa"/>
            <w:right w:w="15" w:type="dxa"/>
          </w:tblCellMar>
        </w:tblPrEx>
        <w:trPr>
          <w:trHeight w:val="705"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项目负责人</w:t>
            </w:r>
          </w:p>
        </w:tc>
        <w:tc>
          <w:tcPr>
            <w:tcW w:w="27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许娅南</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联系电话</w:t>
            </w:r>
          </w:p>
        </w:tc>
        <w:tc>
          <w:tcPr>
            <w:tcW w:w="28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67478393</w:t>
            </w:r>
          </w:p>
        </w:tc>
      </w:tr>
      <w:tr>
        <w:tblPrEx>
          <w:tblLayout w:type="fixed"/>
          <w:tblCellMar>
            <w:top w:w="15" w:type="dxa"/>
            <w:left w:w="15" w:type="dxa"/>
            <w:bottom w:w="15" w:type="dxa"/>
            <w:right w:w="15" w:type="dxa"/>
          </w:tblCellMar>
        </w:tblPrEx>
        <w:trPr>
          <w:trHeight w:val="79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项目概况</w:t>
            </w:r>
          </w:p>
        </w:tc>
        <w:tc>
          <w:tcPr>
            <w:tcW w:w="7056"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按照国家对民办教育“积极鼓励、大力支持、正确引导、依法管理”的方针，为推进呈贡区民办教育健康持续发展，根据《中华人民共和国民办教育促进法》、《昆明市突破性发展民办教育整体推进工作的意见》（昆发办〔2009〕12号）、《呈贡新区管委会 呈贡县人民政府关于突破性发展民办教育整体推进工作的实施意见》（呈新管发〔2009〕33号）、《关于进一步加快呈贡新区教育改革与发展的决定》（呈新工发〔2013〕11号）等文件要求，特修订了《昆明市呈贡区民办教育发展专项资金管理办法》（2017年修订），管理办法中规定，由区级财政在年度教育经费预算中安排300.00万元专项资金，并按照财政对教育投入的比例同步增长，用于支持呈贡民办教育的发展。</w:t>
            </w:r>
          </w:p>
        </w:tc>
      </w:tr>
      <w:tr>
        <w:tblPrEx>
          <w:tblLayout w:type="fixed"/>
          <w:tblCellMar>
            <w:top w:w="15" w:type="dxa"/>
            <w:left w:w="15" w:type="dxa"/>
            <w:bottom w:w="15" w:type="dxa"/>
            <w:right w:w="15" w:type="dxa"/>
          </w:tblCellMar>
        </w:tblPrEx>
        <w:trPr>
          <w:trHeight w:val="51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项目立项依据</w:t>
            </w:r>
          </w:p>
        </w:tc>
        <w:tc>
          <w:tcPr>
            <w:tcW w:w="7056"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《中华人民共和国民办教育促进法》、《昆明市突破性发展民办教育整体推进工作的意见》（昆发办〔2009〕12号）、《呈贡新区管委会 呈贡县人民政府关于突破性发展民办教育整体推进工作的实施意见》（呈新管发〔2009〕33号）、《关于进一步加快呈贡新区教育改革与发展的决定》（呈新工发〔2013〕11号）、《昆明市呈贡区人民政府关于支持和规范社会力量兴办教育促进民办教育健康发展的实施方案》等文件</w:t>
            </w:r>
          </w:p>
        </w:tc>
      </w:tr>
      <w:tr>
        <w:tblPrEx>
          <w:tblLayout w:type="fixed"/>
          <w:tblCellMar>
            <w:top w:w="15" w:type="dxa"/>
            <w:left w:w="15" w:type="dxa"/>
            <w:bottom w:w="15" w:type="dxa"/>
            <w:right w:w="15" w:type="dxa"/>
          </w:tblCellMar>
        </w:tblPrEx>
        <w:trPr>
          <w:trHeight w:val="39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jc w:val="center"/>
              <w:rPr>
                <w:rFonts w:ascii="宋体" w:hAnsi="宋体" w:cs="宋体"/>
                <w:color w:val="000000"/>
                <w:sz w:val="22"/>
                <w:szCs w:val="22"/>
              </w:rPr>
            </w:pP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F8F8F8"/>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总投入</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F8F8F8"/>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中央财政</w:t>
            </w:r>
          </w:p>
        </w:tc>
        <w:tc>
          <w:tcPr>
            <w:tcW w:w="654" w:type="dxa"/>
            <w:tcBorders>
              <w:top w:val="single" w:color="000000" w:sz="4" w:space="0"/>
              <w:left w:val="single" w:color="000000" w:sz="4" w:space="0"/>
              <w:bottom w:val="single" w:color="000000" w:sz="4" w:space="0"/>
              <w:right w:val="single" w:color="000000" w:sz="4" w:space="0"/>
            </w:tcBorders>
            <w:shd w:val="clear" w:color="auto" w:fill="F8F8F8"/>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省级财政</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F8F8F8"/>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市本级财政</w:t>
            </w:r>
          </w:p>
        </w:tc>
        <w:tc>
          <w:tcPr>
            <w:tcW w:w="1462" w:type="dxa"/>
            <w:tcBorders>
              <w:top w:val="single" w:color="000000" w:sz="4" w:space="0"/>
              <w:left w:val="single" w:color="000000" w:sz="4" w:space="0"/>
              <w:bottom w:val="single" w:color="000000" w:sz="4" w:space="0"/>
              <w:right w:val="single" w:color="000000" w:sz="4" w:space="0"/>
            </w:tcBorders>
            <w:shd w:val="clear" w:color="auto" w:fill="F8F8F8"/>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县（市）区级财政</w:t>
            </w:r>
          </w:p>
        </w:tc>
        <w:tc>
          <w:tcPr>
            <w:tcW w:w="1339" w:type="dxa"/>
            <w:tcBorders>
              <w:top w:val="single" w:color="000000" w:sz="4" w:space="0"/>
              <w:left w:val="single" w:color="000000" w:sz="4" w:space="0"/>
              <w:bottom w:val="single" w:color="000000" w:sz="4" w:space="0"/>
              <w:right w:val="single" w:color="000000" w:sz="4" w:space="0"/>
            </w:tcBorders>
            <w:shd w:val="clear" w:color="auto" w:fill="F8F8F8"/>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其他</w:t>
            </w:r>
          </w:p>
        </w:tc>
      </w:tr>
      <w:tr>
        <w:tblPrEx>
          <w:tblLayout w:type="fixed"/>
          <w:tblCellMar>
            <w:top w:w="15" w:type="dxa"/>
            <w:left w:w="15" w:type="dxa"/>
            <w:bottom w:w="15" w:type="dxa"/>
            <w:right w:w="15" w:type="dxa"/>
          </w:tblCellMar>
        </w:tblPrEx>
        <w:trPr>
          <w:trHeight w:val="39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中期资金来源（元）</w:t>
            </w:r>
          </w:p>
        </w:tc>
        <w:tc>
          <w:tcPr>
            <w:tcW w:w="146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19,200,000.00 </w:t>
            </w: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c>
          <w:tcPr>
            <w:tcW w:w="84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19,200,000.00 </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39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年度资金来源（元）</w:t>
            </w:r>
          </w:p>
        </w:tc>
        <w:tc>
          <w:tcPr>
            <w:tcW w:w="146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5,800,000.00 </w:t>
            </w: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c>
          <w:tcPr>
            <w:tcW w:w="84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5,800,000.00 </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20" w:hRule="atLeast"/>
        </w:trPr>
        <w:tc>
          <w:tcPr>
            <w:tcW w:w="294" w:type="dxa"/>
            <w:vMerge w:val="restart"/>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总  体   目  标</w:t>
            </w:r>
          </w:p>
        </w:tc>
        <w:tc>
          <w:tcPr>
            <w:tcW w:w="3745" w:type="dxa"/>
            <w:gridSpan w:val="6"/>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中期目标</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年度目标</w:t>
            </w:r>
          </w:p>
        </w:tc>
      </w:tr>
      <w:tr>
        <w:tblPrEx>
          <w:tblLayout w:type="fixed"/>
          <w:tblCellMar>
            <w:top w:w="15" w:type="dxa"/>
            <w:left w:w="15" w:type="dxa"/>
            <w:bottom w:w="15" w:type="dxa"/>
            <w:right w:w="15" w:type="dxa"/>
          </w:tblCellMar>
        </w:tblPrEx>
        <w:trPr>
          <w:trHeight w:val="43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374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以提升呈贡区民办学校综合实力和教育教学水平为目标，全面提高民办学校办学实力、教育质量、管理水平、办学效益及辐射能力，更好地为呈贡区经济发展和社会发展服务。</w:t>
            </w:r>
          </w:p>
        </w:tc>
        <w:tc>
          <w:tcPr>
            <w:tcW w:w="4303"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以提升呈贡区民办学校综合实力和教育教学水平为目标，全面提高民办学校办学实力、教育质量、管理水平、办学效益及辐射能力，更好地为呈贡区经济发展和社会发展服务。</w:t>
            </w:r>
          </w:p>
        </w:tc>
      </w:tr>
      <w:tr>
        <w:tblPrEx>
          <w:tblLayout w:type="fixed"/>
          <w:tblCellMar>
            <w:top w:w="15" w:type="dxa"/>
            <w:left w:w="15" w:type="dxa"/>
            <w:bottom w:w="15" w:type="dxa"/>
            <w:right w:w="15" w:type="dxa"/>
          </w:tblCellMar>
        </w:tblPrEx>
        <w:trPr>
          <w:trHeight w:val="540" w:hRule="atLeast"/>
        </w:trPr>
        <w:tc>
          <w:tcPr>
            <w:tcW w:w="294" w:type="dxa"/>
            <w:vMerge w:val="restart"/>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绩  效  指  标</w:t>
            </w:r>
          </w:p>
        </w:tc>
        <w:tc>
          <w:tcPr>
            <w:tcW w:w="453" w:type="dxa"/>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一级指标</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二级指标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指标值</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二级指标</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指标值</w:t>
            </w:r>
          </w:p>
        </w:tc>
      </w:tr>
      <w:tr>
        <w:tblPrEx>
          <w:tblLayout w:type="fixed"/>
          <w:tblCellMar>
            <w:top w:w="15" w:type="dxa"/>
            <w:left w:w="15" w:type="dxa"/>
            <w:bottom w:w="15" w:type="dxa"/>
            <w:right w:w="15" w:type="dxa"/>
          </w:tblCellMar>
        </w:tblPrEx>
        <w:trPr>
          <w:trHeight w:val="93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产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出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指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数量指标</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对全区民办学校进行年检，得出年检结论，作为补助发放依据。</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88所民办学校（幼儿园）+121所民办培训学校</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数量指标</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完成符合条件的民办学校补助发放</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每年1次*（88所民办学校（幼儿园）+121所民办培训学校）</w:t>
            </w:r>
          </w:p>
        </w:tc>
      </w:tr>
      <w:tr>
        <w:tblPrEx>
          <w:tblLayout w:type="fixed"/>
          <w:tblCellMar>
            <w:top w:w="15" w:type="dxa"/>
            <w:left w:w="15" w:type="dxa"/>
            <w:bottom w:w="15" w:type="dxa"/>
            <w:right w:w="15" w:type="dxa"/>
          </w:tblCellMar>
        </w:tblPrEx>
        <w:trPr>
          <w:trHeight w:val="69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产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出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指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质量指标</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以年检促进民办教育管理和发展</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完成</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质量指标</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符合条件的民办学校办学条件得到改善</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r>
      <w:tr>
        <w:tblPrEx>
          <w:tblLayout w:type="fixed"/>
          <w:tblCellMar>
            <w:top w:w="15" w:type="dxa"/>
            <w:left w:w="15" w:type="dxa"/>
            <w:bottom w:w="15" w:type="dxa"/>
            <w:right w:w="15" w:type="dxa"/>
          </w:tblCellMar>
        </w:tblPrEx>
        <w:trPr>
          <w:trHeight w:val="69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产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出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指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时效指标</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完成时间</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到2022年全面完成</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时效指标</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完成时间</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当年</w:t>
            </w:r>
          </w:p>
        </w:tc>
      </w:tr>
      <w:tr>
        <w:tblPrEx>
          <w:tblLayout w:type="fixed"/>
          <w:tblCellMar>
            <w:top w:w="15" w:type="dxa"/>
            <w:left w:w="15" w:type="dxa"/>
            <w:bottom w:w="15" w:type="dxa"/>
            <w:right w:w="15" w:type="dxa"/>
          </w:tblCellMar>
        </w:tblPrEx>
        <w:trPr>
          <w:trHeight w:val="69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产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出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指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成本指标</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到2022年核拨经费总计</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1920万元</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成本指标</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2020年核拨经费总计</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580万元</w:t>
            </w:r>
          </w:p>
        </w:tc>
      </w:tr>
      <w:tr>
        <w:tblPrEx>
          <w:tblLayout w:type="fixed"/>
          <w:tblCellMar>
            <w:top w:w="15" w:type="dxa"/>
            <w:left w:w="15" w:type="dxa"/>
            <w:bottom w:w="15" w:type="dxa"/>
            <w:right w:w="15" w:type="dxa"/>
          </w:tblCellMar>
        </w:tblPrEx>
        <w:trPr>
          <w:trHeight w:val="105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效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益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指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社会效益指标</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为呈贡区域内的中小学生、学龄前儿童提供更多良好的教育资源和优越成长环境，促进教育均衡发展。</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大幅提升</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社会效益指标</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改善了民办学校的办学条件</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大幅提升</w:t>
            </w:r>
          </w:p>
        </w:tc>
      </w:tr>
      <w:tr>
        <w:tblPrEx>
          <w:tblLayout w:type="fixed"/>
          <w:tblCellMar>
            <w:top w:w="15" w:type="dxa"/>
            <w:left w:w="15" w:type="dxa"/>
            <w:bottom w:w="15" w:type="dxa"/>
            <w:right w:w="15" w:type="dxa"/>
          </w:tblCellMar>
        </w:tblPrEx>
        <w:trPr>
          <w:trHeight w:val="69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效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益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指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生态效益指标</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促进呈贡教育良性发展</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大幅提升</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生态效益指标</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提高呈贡教育良性发展</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大幅提升</w:t>
            </w:r>
          </w:p>
        </w:tc>
      </w:tr>
      <w:tr>
        <w:tblPrEx>
          <w:tblLayout w:type="fixed"/>
          <w:tblCellMar>
            <w:top w:w="15" w:type="dxa"/>
            <w:left w:w="15" w:type="dxa"/>
            <w:bottom w:w="15" w:type="dxa"/>
            <w:right w:w="15" w:type="dxa"/>
          </w:tblCellMar>
        </w:tblPrEx>
        <w:trPr>
          <w:trHeight w:val="855"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效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益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指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可持续影响</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提升民办学校的管理规范化水平，对整个教育资源优化起到了积极效果。</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完成</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可持续影响</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缓解学校在购置设备等方面的资金不足，改善了办学条件。</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完成</w:t>
            </w:r>
          </w:p>
        </w:tc>
      </w:tr>
      <w:tr>
        <w:tblPrEx>
          <w:tblLayout w:type="fixed"/>
          <w:tblCellMar>
            <w:top w:w="15" w:type="dxa"/>
            <w:left w:w="15" w:type="dxa"/>
            <w:bottom w:w="15" w:type="dxa"/>
            <w:right w:w="15" w:type="dxa"/>
          </w:tblCellMar>
        </w:tblPrEx>
        <w:trPr>
          <w:trHeight w:val="690" w:hRule="atLeast"/>
        </w:trPr>
        <w:tc>
          <w:tcPr>
            <w:tcW w:w="294" w:type="dxa"/>
            <w:vMerge w:val="continue"/>
            <w:tcBorders>
              <w:top w:val="single" w:color="000000" w:sz="4" w:space="0"/>
              <w:left w:val="single" w:color="000000" w:sz="4" w:space="0"/>
              <w:bottom w:val="single" w:color="000000" w:sz="4" w:space="0"/>
              <w:right w:val="single" w:color="000000" w:sz="4" w:space="0"/>
            </w:tcBorders>
            <w:shd w:val="clear" w:color="auto" w:fill="F8F8F8"/>
            <w:vAlign w:val="center"/>
          </w:tcPr>
          <w:p>
            <w:pPr>
              <w:jc w:val="left"/>
              <w:rPr>
                <w:rFonts w:ascii="宋体" w:hAnsi="宋体" w:cs="宋体"/>
                <w:color w:val="000000"/>
                <w:sz w:val="22"/>
                <w:szCs w:val="22"/>
              </w:rPr>
            </w:pP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满意度指标</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服务对象满意度指标</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民办学校及培训机构满意度</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服务对象满意度指标</w:t>
            </w:r>
          </w:p>
        </w:tc>
        <w:tc>
          <w:tcPr>
            <w:tcW w:w="1632"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民办学校及培训机构满意度</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r>
      <w:tr>
        <w:tblPrEx>
          <w:tblLayout w:type="fixed"/>
          <w:tblCellMar>
            <w:top w:w="15" w:type="dxa"/>
            <w:left w:w="15" w:type="dxa"/>
            <w:bottom w:w="15" w:type="dxa"/>
            <w:right w:w="15" w:type="dxa"/>
          </w:tblCellMar>
        </w:tblPrEx>
        <w:trPr>
          <w:trHeight w:val="915" w:hRule="atLeast"/>
        </w:trPr>
        <w:tc>
          <w:tcPr>
            <w:tcW w:w="747"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单位已有的保障项目实施的制度措施</w:t>
            </w:r>
          </w:p>
        </w:tc>
        <w:tc>
          <w:tcPr>
            <w:tcW w:w="759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昆明市呈贡区民办教育发展专项资金管理办法（2017年修订）中资金管理和监督检查制度，进一步加强对民办学校(园)的监管,完善对专项资金的管理制度,形成自上而下的长效监督机制,确保资金使用安全、规范和有效。</w:t>
            </w:r>
          </w:p>
        </w:tc>
      </w:tr>
      <w:tr>
        <w:tblPrEx>
          <w:tblLayout w:type="fixed"/>
          <w:tblCellMar>
            <w:top w:w="15" w:type="dxa"/>
            <w:left w:w="15" w:type="dxa"/>
            <w:bottom w:w="15" w:type="dxa"/>
            <w:right w:w="15" w:type="dxa"/>
          </w:tblCellMar>
        </w:tblPrEx>
        <w:trPr>
          <w:trHeight w:val="600" w:hRule="atLeast"/>
        </w:trPr>
        <w:tc>
          <w:tcPr>
            <w:tcW w:w="747"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预算绩效说明</w:t>
            </w:r>
          </w:p>
        </w:tc>
        <w:tc>
          <w:tcPr>
            <w:tcW w:w="759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专项资金用于呈贡区表彰年度检审优秀，新开办校（园）补助，办学水平等级，公建民营中小学和普惠性民办幼儿园补助，申报省市项目配套资金补助，教研活动工作经费补助，民办年检评审工作经费补助，资金审计专项经费，培训经费等。</w:t>
            </w:r>
          </w:p>
        </w:tc>
      </w:tr>
      <w:tr>
        <w:tblPrEx>
          <w:tblLayout w:type="fixed"/>
          <w:tblCellMar>
            <w:top w:w="15" w:type="dxa"/>
            <w:left w:w="15" w:type="dxa"/>
            <w:bottom w:w="15" w:type="dxa"/>
            <w:right w:w="15" w:type="dxa"/>
          </w:tblCellMar>
        </w:tblPrEx>
        <w:trPr>
          <w:trHeight w:val="270" w:hRule="atLeast"/>
        </w:trPr>
        <w:tc>
          <w:tcPr>
            <w:tcW w:w="1286" w:type="dxa"/>
            <w:gridSpan w:val="3"/>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单位负责人：</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朱辉</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填报人：</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许娅南</w:t>
            </w:r>
          </w:p>
        </w:tc>
        <w:tc>
          <w:tcPr>
            <w:tcW w:w="1462" w:type="dxa"/>
            <w:tcBorders>
              <w:top w:val="single" w:color="000000" w:sz="4" w:space="0"/>
              <w:left w:val="single" w:color="000000" w:sz="4" w:space="0"/>
              <w:bottom w:val="single" w:color="000000" w:sz="4" w:space="0"/>
              <w:right w:val="single" w:color="000000" w:sz="4" w:space="0"/>
            </w:tcBorders>
            <w:shd w:val="clear" w:color="auto" w:fill="F8F8F8"/>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填报日期：</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p>
        </w:tc>
      </w:tr>
    </w:tbl>
    <w:p>
      <w:pPr>
        <w:widowControl/>
        <w:ind w:left="600"/>
        <w:jc w:val="left"/>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55C"/>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757"/>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E7310"/>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24A6"/>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043"/>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26B2"/>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2D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0C22220"/>
    <w:rsid w:val="111D3473"/>
    <w:rsid w:val="13B61995"/>
    <w:rsid w:val="141E7899"/>
    <w:rsid w:val="153C0007"/>
    <w:rsid w:val="16120B81"/>
    <w:rsid w:val="165D6CAE"/>
    <w:rsid w:val="17E531F7"/>
    <w:rsid w:val="19F55BCD"/>
    <w:rsid w:val="1A0B3DDD"/>
    <w:rsid w:val="1A1B6230"/>
    <w:rsid w:val="1A751B4A"/>
    <w:rsid w:val="1B7457C9"/>
    <w:rsid w:val="1BD73E6F"/>
    <w:rsid w:val="1F8F6F61"/>
    <w:rsid w:val="203F2354"/>
    <w:rsid w:val="217C52A6"/>
    <w:rsid w:val="22A95477"/>
    <w:rsid w:val="24192B24"/>
    <w:rsid w:val="249262B8"/>
    <w:rsid w:val="27C44B4F"/>
    <w:rsid w:val="29684A53"/>
    <w:rsid w:val="2A2D00A9"/>
    <w:rsid w:val="2D7258C6"/>
    <w:rsid w:val="2E343CBB"/>
    <w:rsid w:val="2E574E83"/>
    <w:rsid w:val="2E7A1926"/>
    <w:rsid w:val="3227360A"/>
    <w:rsid w:val="332B10AE"/>
    <w:rsid w:val="357910E0"/>
    <w:rsid w:val="38226957"/>
    <w:rsid w:val="38B94E67"/>
    <w:rsid w:val="39466C4F"/>
    <w:rsid w:val="396A13EA"/>
    <w:rsid w:val="39DD2E67"/>
    <w:rsid w:val="3A8A588E"/>
    <w:rsid w:val="3B026B0F"/>
    <w:rsid w:val="3C1464F1"/>
    <w:rsid w:val="3DCC2998"/>
    <w:rsid w:val="3F5538EE"/>
    <w:rsid w:val="41134E62"/>
    <w:rsid w:val="42FE580A"/>
    <w:rsid w:val="44306E80"/>
    <w:rsid w:val="45F568DE"/>
    <w:rsid w:val="488A54A4"/>
    <w:rsid w:val="4A8A424F"/>
    <w:rsid w:val="508B3BDB"/>
    <w:rsid w:val="51486F2A"/>
    <w:rsid w:val="518D170F"/>
    <w:rsid w:val="52F4603B"/>
    <w:rsid w:val="56F77E4E"/>
    <w:rsid w:val="5A5F2402"/>
    <w:rsid w:val="5B6F544B"/>
    <w:rsid w:val="5E8D610B"/>
    <w:rsid w:val="601B6153"/>
    <w:rsid w:val="608C173B"/>
    <w:rsid w:val="611236F1"/>
    <w:rsid w:val="646605FE"/>
    <w:rsid w:val="67137888"/>
    <w:rsid w:val="676E094C"/>
    <w:rsid w:val="67A644C4"/>
    <w:rsid w:val="69614B69"/>
    <w:rsid w:val="69B304BD"/>
    <w:rsid w:val="6A070C95"/>
    <w:rsid w:val="6AA60C26"/>
    <w:rsid w:val="6CE00556"/>
    <w:rsid w:val="6CE34371"/>
    <w:rsid w:val="7005690A"/>
    <w:rsid w:val="706044C2"/>
    <w:rsid w:val="707217B7"/>
    <w:rsid w:val="70DD0568"/>
    <w:rsid w:val="70F826C0"/>
    <w:rsid w:val="72063E6D"/>
    <w:rsid w:val="72293730"/>
    <w:rsid w:val="724A4A01"/>
    <w:rsid w:val="73116912"/>
    <w:rsid w:val="73954482"/>
    <w:rsid w:val="785B03CB"/>
    <w:rsid w:val="7D4F20E1"/>
    <w:rsid w:val="7D99752A"/>
    <w:rsid w:val="7F024C4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6</Pages>
  <Words>564</Words>
  <Characters>3216</Characters>
  <Lines>26</Lines>
  <Paragraphs>7</Paragraphs>
  <TotalTime>0</TotalTime>
  <ScaleCrop>false</ScaleCrop>
  <LinksUpToDate>false</LinksUpToDate>
  <CharactersWithSpaces>3773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2021-03-17T02:40:00Z</dcterms:created>
  <dc:creator>lx</dc:creator>
  <dc:description>ZHGenApp().GetProperty("Certification")</dc:description>
  <cp:lastModifiedBy>Administrator</cp:lastModifiedBy>
  <cp:lastPrinted>2020-02-03T08:13:00Z</cp:lastPrinted>
  <dcterms:modified xsi:type="dcterms:W3CDTF">2021-03-17T03:30:31Z</dcterms:modified>
  <dc:title>年部门预算编制说明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