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华文中宋" w:eastAsia="方正小标宋简体"/>
          <w:spacing w:val="14"/>
          <w:sz w:val="44"/>
          <w:szCs w:val="44"/>
          <w:lang w:eastAsia="zh-CN"/>
        </w:rPr>
      </w:pPr>
      <w:r>
        <w:rPr>
          <w:rFonts w:hint="eastAsia" w:ascii="方正小标宋简体" w:eastAsia="方正小标宋简体"/>
          <w:sz w:val="36"/>
          <w:szCs w:val="36"/>
          <w:lang w:val="en-US" w:eastAsia="zh-CN"/>
        </w:rPr>
        <w:t>昆明市呈贡区第一中学2021</w:t>
      </w:r>
      <w:r>
        <w:rPr>
          <w:rFonts w:hint="eastAsia" w:ascii="方正小标宋简体" w:eastAsia="方正小标宋简体"/>
          <w:sz w:val="36"/>
          <w:szCs w:val="36"/>
        </w:rPr>
        <w:t>年</w:t>
      </w:r>
      <w:r>
        <w:rPr>
          <w:rFonts w:hint="eastAsia" w:ascii="方正小标宋简体" w:eastAsia="方正小标宋简体"/>
          <w:sz w:val="36"/>
          <w:szCs w:val="36"/>
          <w:lang w:eastAsia="zh-CN"/>
        </w:rPr>
        <w:t>校园绿化保洁经费</w:t>
      </w:r>
    </w:p>
    <w:p>
      <w:pPr>
        <w:widowControl/>
        <w:numPr>
          <w:ilvl w:val="0"/>
          <w:numId w:val="1"/>
        </w:numPr>
        <w:ind w:firstLine="600" w:firstLineChars="200"/>
        <w:jc w:val="left"/>
        <w:rPr>
          <w:rFonts w:hint="eastAsia" w:ascii="黑体" w:hAnsi="黑体" w:eastAsia="黑体"/>
          <w:kern w:val="0"/>
          <w:sz w:val="30"/>
          <w:szCs w:val="30"/>
        </w:rPr>
      </w:pPr>
      <w:r>
        <w:rPr>
          <w:rFonts w:hint="eastAsia" w:ascii="黑体" w:hAnsi="黑体" w:eastAsia="黑体"/>
          <w:kern w:val="0"/>
          <w:sz w:val="30"/>
          <w:szCs w:val="30"/>
        </w:rPr>
        <w:t>项目名称</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校园绿化保洁经费</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立项依据</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根据昆明市呈贡区财政局 昆明市呈贡区教育局关于转发云南省城乡义务教育学校公用经费管理办法的通知（呈财教【2017】16号）文件。</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项目实施单位</w:t>
      </w:r>
    </w:p>
    <w:p>
      <w:pPr>
        <w:widowControl/>
        <w:ind w:firstLine="600" w:firstLineChars="200"/>
        <w:jc w:val="left"/>
        <w:rPr>
          <w:rFonts w:hint="eastAsia" w:eastAsia="仿宋_GB2312"/>
          <w:kern w:val="0"/>
          <w:sz w:val="30"/>
          <w:szCs w:val="30"/>
        </w:rPr>
      </w:pPr>
      <w:r>
        <w:rPr>
          <w:rFonts w:hint="eastAsia" w:eastAsia="仿宋_GB2312"/>
          <w:kern w:val="0"/>
          <w:sz w:val="30"/>
          <w:szCs w:val="30"/>
        </w:rPr>
        <w:t>单位名称：</w:t>
      </w:r>
      <w:r>
        <w:rPr>
          <w:rFonts w:hint="eastAsia" w:ascii="仿宋_GB2312" w:hAnsi="仿宋_GB2312" w:eastAsia="仿宋_GB2312" w:cs="仿宋_GB2312"/>
          <w:kern w:val="0"/>
          <w:sz w:val="32"/>
          <w:szCs w:val="32"/>
          <w:lang w:eastAsia="zh-CN"/>
        </w:rPr>
        <w:t>昆明市呈贡区第一中学</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eastAsia="仿宋_GB2312"/>
          <w:kern w:val="0"/>
          <w:sz w:val="30"/>
          <w:szCs w:val="30"/>
        </w:rPr>
      </w:pPr>
      <w:r>
        <w:rPr>
          <w:rFonts w:hint="eastAsia" w:eastAsia="仿宋_GB2312"/>
          <w:kern w:val="0"/>
          <w:sz w:val="30"/>
          <w:szCs w:val="30"/>
        </w:rPr>
        <w:t>组织机构代码：</w:t>
      </w:r>
      <w:r>
        <w:rPr>
          <w:rFonts w:hint="eastAsia" w:ascii="仿宋_GB2312" w:hAnsi="仿宋_GB2312" w:eastAsia="仿宋_GB2312" w:cs="仿宋_GB2312"/>
          <w:kern w:val="0"/>
          <w:sz w:val="32"/>
          <w:szCs w:val="32"/>
          <w:lang w:val="en-US" w:eastAsia="zh-CN"/>
        </w:rPr>
        <w:t>12530121431490662H</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eastAsia="仿宋_GB2312"/>
          <w:kern w:val="0"/>
          <w:sz w:val="30"/>
          <w:szCs w:val="30"/>
        </w:rPr>
      </w:pPr>
      <w:r>
        <w:rPr>
          <w:rFonts w:hint="eastAsia" w:eastAsia="仿宋_GB2312"/>
          <w:kern w:val="0"/>
          <w:sz w:val="30"/>
          <w:szCs w:val="30"/>
        </w:rPr>
        <w:t>地址：</w:t>
      </w:r>
      <w:r>
        <w:rPr>
          <w:rFonts w:hint="eastAsia" w:ascii="仿宋_GB2312" w:hAnsi="仿宋_GB2312" w:eastAsia="仿宋_GB2312" w:cs="仿宋_GB2312"/>
          <w:kern w:val="0"/>
          <w:sz w:val="32"/>
          <w:szCs w:val="32"/>
          <w:lang w:eastAsia="zh-CN"/>
        </w:rPr>
        <w:t>云南省昆明市呈贡区龙城街道办事处双龙路90号</w:t>
      </w:r>
    </w:p>
    <w:p>
      <w:pPr>
        <w:widowControl/>
        <w:ind w:firstLine="600" w:firstLineChars="200"/>
        <w:jc w:val="left"/>
        <w:rPr>
          <w:rFonts w:hint="eastAsia" w:eastAsia="仿宋_GB2312"/>
          <w:kern w:val="0"/>
          <w:sz w:val="30"/>
          <w:szCs w:val="30"/>
        </w:rPr>
      </w:pPr>
      <w:r>
        <w:rPr>
          <w:rFonts w:hint="eastAsia" w:eastAsia="仿宋_GB2312"/>
          <w:kern w:val="0"/>
          <w:sz w:val="30"/>
          <w:szCs w:val="30"/>
        </w:rPr>
        <w:t>联系电话：</w:t>
      </w:r>
      <w:r>
        <w:rPr>
          <w:rFonts w:hint="eastAsia" w:ascii="仿宋_GB2312" w:hAnsi="仿宋_GB2312" w:eastAsia="仿宋_GB2312" w:cs="仿宋_GB2312"/>
          <w:kern w:val="0"/>
          <w:sz w:val="32"/>
          <w:szCs w:val="32"/>
          <w:lang w:val="en-US" w:eastAsia="zh-CN"/>
        </w:rPr>
        <w:t>67479163</w:t>
      </w:r>
    </w:p>
    <w:p>
      <w:pPr>
        <w:widowControl/>
        <w:ind w:firstLine="600" w:firstLineChars="200"/>
        <w:jc w:val="left"/>
        <w:rPr>
          <w:rFonts w:hint="default" w:eastAsia="仿宋_GB2312"/>
          <w:kern w:val="0"/>
          <w:sz w:val="30"/>
          <w:szCs w:val="30"/>
          <w:lang w:val="en-US" w:eastAsia="zh-CN"/>
        </w:rPr>
      </w:pPr>
      <w:r>
        <w:rPr>
          <w:rFonts w:hint="eastAsia" w:eastAsia="仿宋_GB2312"/>
          <w:kern w:val="0"/>
          <w:sz w:val="30"/>
          <w:szCs w:val="30"/>
        </w:rPr>
        <w:t>法人代表：</w:t>
      </w:r>
      <w:r>
        <w:rPr>
          <w:rFonts w:hint="eastAsia" w:eastAsia="仿宋_GB2312"/>
          <w:kern w:val="0"/>
          <w:sz w:val="30"/>
          <w:szCs w:val="30"/>
          <w:lang w:val="en-US" w:eastAsia="zh-CN"/>
        </w:rPr>
        <w:t>杨少宁</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default" w:eastAsia="仿宋_GB2312"/>
          <w:kern w:val="0"/>
          <w:sz w:val="30"/>
          <w:szCs w:val="30"/>
          <w:lang w:val="en-US" w:eastAsia="zh-CN"/>
        </w:rPr>
      </w:pPr>
      <w:r>
        <w:rPr>
          <w:rFonts w:hint="eastAsia" w:eastAsia="仿宋_GB2312"/>
          <w:kern w:val="0"/>
          <w:sz w:val="30"/>
          <w:szCs w:val="30"/>
        </w:rPr>
        <w:t>经费来源：</w:t>
      </w:r>
      <w:r>
        <w:rPr>
          <w:rFonts w:hint="eastAsia" w:ascii="仿宋_GB2312" w:hAnsi="仿宋_GB2312" w:eastAsia="仿宋_GB2312" w:cs="仿宋_GB2312"/>
          <w:kern w:val="0"/>
          <w:sz w:val="32"/>
          <w:szCs w:val="32"/>
          <w:lang w:eastAsia="zh-CN"/>
        </w:rPr>
        <w:t>财政全额拨款</w:t>
      </w:r>
    </w:p>
    <w:p>
      <w:pPr>
        <w:widowControl/>
        <w:ind w:firstLine="600" w:firstLineChars="200"/>
        <w:jc w:val="left"/>
        <w:rPr>
          <w:rFonts w:hint="eastAsia" w:eastAsia="仿宋_GB2312"/>
          <w:kern w:val="0"/>
          <w:sz w:val="30"/>
          <w:szCs w:val="30"/>
        </w:rPr>
      </w:pPr>
      <w:r>
        <w:rPr>
          <w:rFonts w:hint="eastAsia" w:eastAsia="仿宋_GB2312"/>
          <w:kern w:val="0"/>
          <w:sz w:val="30"/>
          <w:szCs w:val="30"/>
          <w:lang w:eastAsia="zh-CN"/>
        </w:rPr>
        <w:t>单位</w:t>
      </w:r>
      <w:r>
        <w:rPr>
          <w:rFonts w:hint="eastAsia" w:eastAsia="仿宋_GB2312"/>
          <w:kern w:val="0"/>
          <w:sz w:val="30"/>
          <w:szCs w:val="30"/>
        </w:rPr>
        <w:t>概况：</w:t>
      </w:r>
    </w:p>
    <w:p>
      <w:pPr>
        <w:keepNext w:val="0"/>
        <w:keepLines w:val="0"/>
        <w:pageBreakBefore w:val="0"/>
        <w:kinsoku/>
        <w:wordWrap/>
        <w:overflowPunct/>
        <w:topLinePunct w:val="0"/>
        <w:autoSpaceDE/>
        <w:autoSpaceDN/>
        <w:bidi w:val="0"/>
        <w:adjustRightInd/>
        <w:snapToGrid/>
        <w:spacing w:line="192"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昆明市呈贡区第一中学属完全中学，设初中部、高中部；根据部门预算编制要求，将按初中部、高中部预算编制，初中部学生共</w:t>
      </w:r>
      <w:r>
        <w:rPr>
          <w:rFonts w:hint="eastAsia" w:ascii="仿宋_GB2312" w:eastAsia="仿宋_GB2312"/>
          <w:sz w:val="32"/>
          <w:szCs w:val="32"/>
          <w:lang w:val="en-US" w:eastAsia="zh-CN"/>
        </w:rPr>
        <w:t>1536</w:t>
      </w:r>
      <w:r>
        <w:rPr>
          <w:rFonts w:hint="eastAsia" w:ascii="仿宋_GB2312" w:eastAsia="仿宋_GB2312"/>
          <w:sz w:val="32"/>
          <w:szCs w:val="32"/>
        </w:rPr>
        <w:t>人，教职工</w:t>
      </w:r>
      <w:r>
        <w:rPr>
          <w:rFonts w:hint="eastAsia" w:ascii="仿宋_GB2312" w:eastAsia="仿宋_GB2312"/>
          <w:sz w:val="32"/>
          <w:szCs w:val="32"/>
          <w:lang w:val="en-US" w:eastAsia="zh-CN"/>
        </w:rPr>
        <w:t>111</w:t>
      </w:r>
      <w:r>
        <w:rPr>
          <w:rFonts w:hint="eastAsia" w:ascii="仿宋_GB2312" w:eastAsia="仿宋_GB2312"/>
          <w:sz w:val="32"/>
          <w:szCs w:val="32"/>
        </w:rPr>
        <w:t>人，其中专任教师</w:t>
      </w:r>
      <w:r>
        <w:rPr>
          <w:rFonts w:hint="eastAsia" w:ascii="仿宋_GB2312" w:eastAsia="仿宋_GB2312"/>
          <w:sz w:val="32"/>
          <w:szCs w:val="32"/>
          <w:lang w:val="en-US" w:eastAsia="zh-CN"/>
        </w:rPr>
        <w:t>109</w:t>
      </w:r>
      <w:r>
        <w:rPr>
          <w:rFonts w:hint="eastAsia" w:ascii="仿宋_GB2312" w:eastAsia="仿宋_GB2312"/>
          <w:sz w:val="32"/>
          <w:szCs w:val="32"/>
        </w:rPr>
        <w:t>人，工勤人员</w:t>
      </w:r>
      <w:r>
        <w:rPr>
          <w:rFonts w:hint="eastAsia" w:ascii="仿宋_GB2312" w:eastAsia="仿宋_GB2312"/>
          <w:sz w:val="32"/>
          <w:szCs w:val="32"/>
          <w:lang w:val="en-US" w:eastAsia="zh-CN"/>
        </w:rPr>
        <w:t>2</w:t>
      </w:r>
      <w:r>
        <w:rPr>
          <w:rFonts w:hint="eastAsia" w:ascii="仿宋_GB2312" w:eastAsia="仿宋_GB2312"/>
          <w:sz w:val="32"/>
          <w:szCs w:val="32"/>
        </w:rPr>
        <w:t>人；高中部学生</w:t>
      </w:r>
      <w:r>
        <w:rPr>
          <w:rFonts w:hint="eastAsia" w:ascii="仿宋_GB2312" w:eastAsia="仿宋_GB2312"/>
          <w:sz w:val="32"/>
          <w:szCs w:val="32"/>
          <w:lang w:val="en-US" w:eastAsia="zh-CN"/>
        </w:rPr>
        <w:t>1297</w:t>
      </w:r>
      <w:r>
        <w:rPr>
          <w:rFonts w:hint="eastAsia" w:ascii="仿宋_GB2312" w:eastAsia="仿宋_GB2312"/>
          <w:sz w:val="32"/>
          <w:szCs w:val="32"/>
        </w:rPr>
        <w:t>人，教职工</w:t>
      </w:r>
      <w:r>
        <w:rPr>
          <w:rFonts w:hint="eastAsia" w:ascii="仿宋_GB2312" w:eastAsia="仿宋_GB2312"/>
          <w:sz w:val="32"/>
          <w:szCs w:val="32"/>
          <w:lang w:val="en-US" w:eastAsia="zh-CN"/>
        </w:rPr>
        <w:t>252</w:t>
      </w:r>
      <w:r>
        <w:rPr>
          <w:rFonts w:hint="eastAsia" w:ascii="仿宋_GB2312" w:eastAsia="仿宋_GB2312"/>
          <w:sz w:val="32"/>
          <w:szCs w:val="32"/>
        </w:rPr>
        <w:t>人，其中专任教师</w:t>
      </w:r>
      <w:r>
        <w:rPr>
          <w:rFonts w:hint="eastAsia" w:ascii="仿宋_GB2312" w:eastAsia="仿宋_GB2312"/>
          <w:sz w:val="32"/>
          <w:szCs w:val="32"/>
          <w:lang w:val="en-US" w:eastAsia="zh-CN"/>
        </w:rPr>
        <w:t>246</w:t>
      </w:r>
      <w:r>
        <w:rPr>
          <w:rFonts w:hint="eastAsia" w:ascii="仿宋_GB2312" w:eastAsia="仿宋_GB2312"/>
          <w:sz w:val="32"/>
          <w:szCs w:val="32"/>
        </w:rPr>
        <w:t>人，工勤人员</w:t>
      </w:r>
      <w:r>
        <w:rPr>
          <w:rFonts w:hint="eastAsia" w:ascii="仿宋_GB2312" w:eastAsia="仿宋_GB2312"/>
          <w:sz w:val="32"/>
          <w:szCs w:val="32"/>
          <w:lang w:val="en-US" w:eastAsia="zh-CN"/>
        </w:rPr>
        <w:t>6</w:t>
      </w:r>
      <w:r>
        <w:rPr>
          <w:rFonts w:hint="eastAsia" w:ascii="仿宋_GB2312" w:eastAsia="仿宋_GB2312"/>
          <w:sz w:val="32"/>
          <w:szCs w:val="32"/>
        </w:rPr>
        <w:t>人。</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项目基本概况</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为严格遵守政府采购相关文件规定，</w:t>
      </w:r>
      <w:r>
        <w:rPr>
          <w:rFonts w:hint="eastAsia" w:eastAsia="仿宋_GB2312"/>
          <w:sz w:val="32"/>
          <w:szCs w:val="32"/>
        </w:rPr>
        <w:t>满足学校不断发展的需求，营造安全、优美、和谐</w:t>
      </w:r>
      <w:r>
        <w:rPr>
          <w:rFonts w:hint="eastAsia" w:eastAsia="仿宋_GB2312"/>
          <w:sz w:val="32"/>
          <w:szCs w:val="32"/>
          <w:lang w:eastAsia="zh-CN"/>
        </w:rPr>
        <w:t>、绿色</w:t>
      </w:r>
      <w:r>
        <w:rPr>
          <w:rFonts w:hint="eastAsia" w:eastAsia="仿宋_GB2312"/>
          <w:sz w:val="32"/>
          <w:szCs w:val="32"/>
        </w:rPr>
        <w:t>的育人环境，进一步提升学校的知名度和办学质量，</w:t>
      </w:r>
      <w:r>
        <w:rPr>
          <w:rFonts w:hint="eastAsia" w:eastAsia="仿宋_GB2312"/>
          <w:sz w:val="32"/>
          <w:szCs w:val="32"/>
          <w:lang w:eastAsia="zh-CN"/>
        </w:rPr>
        <w:t>完成文明城市、文明校园的创建工作，更好</w:t>
      </w:r>
      <w:r>
        <w:rPr>
          <w:rFonts w:hint="eastAsia" w:eastAsia="仿宋_GB2312"/>
          <w:sz w:val="32"/>
          <w:szCs w:val="32"/>
        </w:rPr>
        <w:t>地为呈贡新区教育教学服务，办人民满意的教育</w:t>
      </w:r>
      <w:r>
        <w:rPr>
          <w:rFonts w:hint="eastAsia" w:ascii="仿宋_GB2312" w:hAnsi="仿宋_GB2312" w:eastAsia="仿宋_GB2312" w:cs="仿宋_GB2312"/>
          <w:kern w:val="0"/>
          <w:sz w:val="32"/>
          <w:szCs w:val="32"/>
        </w:rPr>
        <w:t>。</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项目实施内容</w:t>
      </w:r>
    </w:p>
    <w:p>
      <w:pPr>
        <w:keepNext w:val="0"/>
        <w:keepLines w:val="0"/>
        <w:pageBreakBefore w:val="0"/>
        <w:kinsoku/>
        <w:wordWrap/>
        <w:overflowPunct/>
        <w:topLinePunct w:val="0"/>
        <w:autoSpaceDE/>
        <w:autoSpaceDN/>
        <w:bidi w:val="0"/>
        <w:adjustRightInd/>
        <w:snapToGrid/>
        <w:spacing w:line="192"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eastAsia="zh-CN"/>
        </w:rPr>
        <w:t>我校占地面积共</w:t>
      </w:r>
      <w:r>
        <w:rPr>
          <w:rFonts w:hint="eastAsia" w:ascii="仿宋_GB2312" w:hAnsi="仿宋_GB2312" w:eastAsia="仿宋_GB2312" w:cs="仿宋_GB2312"/>
          <w:kern w:val="0"/>
          <w:sz w:val="32"/>
          <w:szCs w:val="32"/>
          <w:lang w:val="en-US" w:eastAsia="zh-CN"/>
        </w:rPr>
        <w:t>79479.7平方米，建筑面积32054平方米，绿化面积14383平方米，体育场地面积20259平方米，共有弘毅楼、谨信楼、劝学楼、汉族食堂、回族食堂、男生宿舍、女生宿舍七栋建筑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男女</w:t>
      </w:r>
      <w:r>
        <w:rPr>
          <w:rFonts w:hint="eastAsia" w:ascii="仿宋_GB2312" w:hAnsi="仿宋_GB2312" w:eastAsia="仿宋_GB2312" w:cs="仿宋_GB2312"/>
          <w:sz w:val="32"/>
          <w:szCs w:val="32"/>
        </w:rPr>
        <w:t>卫生间共60间，公共厕所1个</w:t>
      </w:r>
      <w:r>
        <w:rPr>
          <w:rFonts w:hint="eastAsia" w:ascii="仿宋_GB2312" w:hAnsi="仿宋_GB2312" w:eastAsia="仿宋_GB2312" w:cs="仿宋_GB2312"/>
          <w:sz w:val="32"/>
          <w:szCs w:val="32"/>
          <w:lang w:eastAsia="zh-CN"/>
        </w:rPr>
        <w:t>、绿化保洁面积大，我校所需绿化保洁宿管人员16人，完成管理校舍、绿化专业化、规范化，确保教育教学活动的顺利开展，并完成晋升一级学校目标。</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资金安排情况</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我校和</w:t>
      </w:r>
      <w:r>
        <w:rPr>
          <w:rFonts w:hint="eastAsia" w:ascii="仿宋_GB2312" w:hAnsi="仿宋_GB2312" w:eastAsia="仿宋_GB2312" w:cs="仿宋_GB2312"/>
          <w:kern w:val="0"/>
          <w:sz w:val="32"/>
          <w:szCs w:val="32"/>
          <w:lang w:eastAsia="zh-CN"/>
        </w:rPr>
        <w:t>云南建安</w:t>
      </w:r>
      <w:r>
        <w:rPr>
          <w:rFonts w:hint="eastAsia" w:ascii="仿宋_GB2312" w:hAnsi="仿宋_GB2312" w:eastAsia="仿宋_GB2312" w:cs="仿宋_GB2312"/>
          <w:kern w:val="0"/>
          <w:sz w:val="32"/>
          <w:szCs w:val="32"/>
        </w:rPr>
        <w:t>保安</w:t>
      </w:r>
      <w:r>
        <w:rPr>
          <w:rFonts w:hint="eastAsia" w:ascii="仿宋_GB2312" w:hAnsi="仿宋_GB2312" w:eastAsia="仿宋_GB2312" w:cs="仿宋_GB2312"/>
          <w:kern w:val="0"/>
          <w:sz w:val="32"/>
          <w:szCs w:val="32"/>
          <w:lang w:eastAsia="zh-CN"/>
        </w:rPr>
        <w:t>服务有限</w:t>
      </w:r>
      <w:r>
        <w:rPr>
          <w:rFonts w:hint="eastAsia" w:ascii="仿宋_GB2312" w:hAnsi="仿宋_GB2312" w:eastAsia="仿宋_GB2312" w:cs="仿宋_GB2312"/>
          <w:kern w:val="0"/>
          <w:sz w:val="32"/>
          <w:szCs w:val="32"/>
        </w:rPr>
        <w:t>公司签订了</w:t>
      </w:r>
      <w:r>
        <w:rPr>
          <w:rFonts w:hint="eastAsia" w:ascii="仿宋_GB2312" w:hAnsi="仿宋_GB2312" w:eastAsia="仿宋_GB2312" w:cs="仿宋_GB2312"/>
          <w:kern w:val="0"/>
          <w:sz w:val="32"/>
          <w:szCs w:val="32"/>
          <w:lang w:eastAsia="zh-CN"/>
        </w:rPr>
        <w:t>物业</w:t>
      </w:r>
      <w:r>
        <w:rPr>
          <w:rFonts w:hint="eastAsia" w:ascii="仿宋_GB2312" w:hAnsi="仿宋_GB2312" w:eastAsia="仿宋_GB2312" w:cs="仿宋_GB2312"/>
          <w:kern w:val="0"/>
          <w:sz w:val="32"/>
          <w:szCs w:val="32"/>
        </w:rPr>
        <w:t>服务合同，</w:t>
      </w:r>
      <w:r>
        <w:rPr>
          <w:rFonts w:hint="eastAsia" w:ascii="仿宋_GB2312" w:hAnsi="仿宋_GB2312" w:eastAsia="仿宋_GB2312" w:cs="仿宋_GB2312"/>
          <w:sz w:val="32"/>
          <w:szCs w:val="32"/>
        </w:rPr>
        <w:t>我校绿化保洁宿管人员工资：2800元/人，16人，共计：537600元。</w:t>
      </w:r>
      <w:r>
        <w:rPr>
          <w:rFonts w:hint="eastAsia" w:ascii="仿宋_GB2312" w:hAnsi="仿宋_GB2312" w:eastAsia="仿宋_GB2312" w:cs="仿宋_GB2312"/>
          <w:kern w:val="0"/>
          <w:sz w:val="32"/>
          <w:szCs w:val="32"/>
        </w:rPr>
        <w:t>分季度支付给</w:t>
      </w:r>
      <w:r>
        <w:rPr>
          <w:rFonts w:hint="eastAsia" w:ascii="仿宋_GB2312" w:hAnsi="仿宋_GB2312" w:eastAsia="仿宋_GB2312" w:cs="仿宋_GB2312"/>
          <w:kern w:val="0"/>
          <w:sz w:val="32"/>
          <w:szCs w:val="32"/>
          <w:lang w:eastAsia="zh-CN"/>
        </w:rPr>
        <w:t>云南建安</w:t>
      </w:r>
      <w:r>
        <w:rPr>
          <w:rFonts w:hint="eastAsia" w:ascii="仿宋_GB2312" w:hAnsi="仿宋_GB2312" w:eastAsia="仿宋_GB2312" w:cs="仿宋_GB2312"/>
          <w:kern w:val="0"/>
          <w:sz w:val="32"/>
          <w:szCs w:val="32"/>
        </w:rPr>
        <w:t>保安</w:t>
      </w:r>
      <w:r>
        <w:rPr>
          <w:rFonts w:hint="eastAsia" w:ascii="仿宋_GB2312" w:hAnsi="仿宋_GB2312" w:eastAsia="仿宋_GB2312" w:cs="仿宋_GB2312"/>
          <w:kern w:val="0"/>
          <w:sz w:val="32"/>
          <w:szCs w:val="32"/>
          <w:lang w:eastAsia="zh-CN"/>
        </w:rPr>
        <w:t>服务有限</w:t>
      </w:r>
      <w:r>
        <w:rPr>
          <w:rFonts w:hint="eastAsia" w:ascii="仿宋_GB2312" w:hAnsi="仿宋_GB2312" w:eastAsia="仿宋_GB2312" w:cs="仿宋_GB2312"/>
          <w:kern w:val="0"/>
          <w:sz w:val="32"/>
          <w:szCs w:val="32"/>
        </w:rPr>
        <w:t>公司公司，共计需要支付</w:t>
      </w:r>
      <w:r>
        <w:rPr>
          <w:rFonts w:hint="eastAsia" w:ascii="仿宋_GB2312" w:hAnsi="仿宋_GB2312" w:eastAsia="仿宋_GB2312" w:cs="仿宋_GB2312"/>
          <w:kern w:val="0"/>
          <w:sz w:val="32"/>
          <w:szCs w:val="32"/>
          <w:lang w:eastAsia="zh-CN"/>
        </w:rPr>
        <w:t>物业</w:t>
      </w:r>
      <w:r>
        <w:rPr>
          <w:rFonts w:hint="eastAsia" w:ascii="仿宋_GB2312" w:hAnsi="仿宋_GB2312" w:eastAsia="仿宋_GB2312" w:cs="仿宋_GB2312"/>
          <w:kern w:val="0"/>
          <w:sz w:val="32"/>
          <w:szCs w:val="32"/>
        </w:rPr>
        <w:t>服务费</w:t>
      </w:r>
      <w:r>
        <w:rPr>
          <w:rFonts w:hint="eastAsia" w:ascii="仿宋_GB2312" w:hAnsi="仿宋_GB2312" w:eastAsia="仿宋_GB2312" w:cs="仿宋_GB2312"/>
          <w:sz w:val="32"/>
          <w:szCs w:val="32"/>
        </w:rPr>
        <w:t>53760</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项目实施计划</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满足学校</w:t>
      </w:r>
      <w:r>
        <w:rPr>
          <w:rFonts w:hint="eastAsia" w:ascii="仿宋_GB2312" w:hAnsi="仿宋_GB2312" w:eastAsia="仿宋_GB2312" w:cs="仿宋_GB2312"/>
          <w:kern w:val="0"/>
          <w:sz w:val="32"/>
          <w:szCs w:val="32"/>
          <w:lang w:eastAsia="zh-CN"/>
        </w:rPr>
        <w:t>绿化保洁及宿舍管理</w:t>
      </w:r>
      <w:r>
        <w:rPr>
          <w:rFonts w:hint="eastAsia" w:ascii="仿宋_GB2312" w:hAnsi="仿宋_GB2312" w:eastAsia="仿宋_GB2312" w:cs="仿宋_GB2312"/>
          <w:kern w:val="0"/>
          <w:sz w:val="32"/>
          <w:szCs w:val="32"/>
        </w:rPr>
        <w:t>的需求，</w:t>
      </w:r>
      <w:r>
        <w:rPr>
          <w:rFonts w:hint="eastAsia" w:ascii="仿宋_GB2312" w:hAnsi="仿宋_GB2312" w:eastAsia="仿宋_GB2312" w:cs="仿宋_GB2312"/>
          <w:kern w:val="0"/>
          <w:sz w:val="32"/>
          <w:szCs w:val="32"/>
          <w:lang w:eastAsia="zh-CN"/>
        </w:rPr>
        <w:t>保证后勤服务质量和水平，</w:t>
      </w:r>
      <w:r>
        <w:rPr>
          <w:rFonts w:hint="eastAsia" w:ascii="仿宋_GB2312" w:hAnsi="仿宋_GB2312" w:eastAsia="仿宋_GB2312" w:cs="仿宋_GB2312"/>
          <w:kern w:val="0"/>
          <w:sz w:val="32"/>
          <w:szCs w:val="32"/>
        </w:rPr>
        <w:t>让学校能够顺利开展教育教学活动，保持我校创建的“云南省文明学校”、“云南省绿色学校”、“云南省园林单位”、“昆明市绿色学校”的荣誉</w:t>
      </w:r>
      <w:r>
        <w:rPr>
          <w:rFonts w:hint="eastAsia" w:ascii="仿宋_GB2312" w:hAnsi="仿宋_GB2312" w:eastAsia="仿宋_GB2312" w:cs="仿宋_GB2312"/>
          <w:kern w:val="0"/>
          <w:sz w:val="32"/>
          <w:szCs w:val="32"/>
          <w:lang w:eastAsia="zh-CN"/>
        </w:rPr>
        <w:t>称号。</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项目实施成效</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kern w:val="0"/>
          <w:sz w:val="30"/>
          <w:szCs w:val="30"/>
        </w:rPr>
      </w:pPr>
      <w:r>
        <w:rPr>
          <w:rFonts w:hint="eastAsia" w:ascii="仿宋_GB2312" w:hAnsi="仿宋_GB2312" w:eastAsia="仿宋_GB2312" w:cs="仿宋_GB2312"/>
          <w:kern w:val="0"/>
          <w:sz w:val="32"/>
          <w:szCs w:val="32"/>
          <w:lang w:eastAsia="zh-CN"/>
        </w:rPr>
        <w:t>校园干净整洁，绿植生长良好、环境优美，宿舍干净整齐，管理有序。</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项目绩效目标表</w:t>
      </w:r>
    </w:p>
    <w:tbl>
      <w:tblPr>
        <w:tblStyle w:val="2"/>
        <w:tblpPr w:leftFromText="180" w:rightFromText="180" w:vertAnchor="text" w:horzAnchor="page" w:tblpX="1153" w:tblpY="255"/>
        <w:tblOverlap w:val="never"/>
        <w:tblW w:w="9255" w:type="dxa"/>
        <w:tblInd w:w="0" w:type="dxa"/>
        <w:shd w:val="clear" w:color="auto" w:fill="auto"/>
        <w:tblLayout w:type="autofit"/>
        <w:tblCellMar>
          <w:top w:w="0" w:type="dxa"/>
          <w:left w:w="0" w:type="dxa"/>
          <w:bottom w:w="0" w:type="dxa"/>
          <w:right w:w="0" w:type="dxa"/>
        </w:tblCellMar>
      </w:tblPr>
      <w:tblGrid>
        <w:gridCol w:w="882"/>
        <w:gridCol w:w="843"/>
        <w:gridCol w:w="1068"/>
        <w:gridCol w:w="1429"/>
        <w:gridCol w:w="584"/>
        <w:gridCol w:w="788"/>
        <w:gridCol w:w="1124"/>
        <w:gridCol w:w="2537"/>
      </w:tblGrid>
      <w:tr>
        <w:tblPrEx>
          <w:shd w:val="clear" w:color="auto" w:fill="auto"/>
          <w:tblCellMar>
            <w:top w:w="0" w:type="dxa"/>
            <w:left w:w="0" w:type="dxa"/>
            <w:bottom w:w="0" w:type="dxa"/>
            <w:right w:w="0" w:type="dxa"/>
          </w:tblCellMar>
        </w:tblPrEx>
        <w:trPr>
          <w:trHeight w:val="826"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指标性质</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指标属性</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r>
      <w:tr>
        <w:tblPrEx>
          <w:tblCellMar>
            <w:top w:w="0" w:type="dxa"/>
            <w:left w:w="0" w:type="dxa"/>
            <w:bottom w:w="0" w:type="dxa"/>
            <w:right w:w="0" w:type="dxa"/>
          </w:tblCellMar>
        </w:tblPrEx>
        <w:trPr>
          <w:trHeight w:val="869"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校园绿化保洁经费</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绿化管养面积</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14383</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反映办公区室外绿化管养面积的情况。</w:t>
            </w:r>
          </w:p>
        </w:tc>
      </w:tr>
      <w:tr>
        <w:tblPrEx>
          <w:tblCellMar>
            <w:top w:w="0" w:type="dxa"/>
            <w:left w:w="0" w:type="dxa"/>
            <w:bottom w:w="0" w:type="dxa"/>
            <w:right w:w="0" w:type="dxa"/>
          </w:tblCellMar>
        </w:tblPrEx>
        <w:trPr>
          <w:trHeight w:val="1293"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绿化存活率</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定性指标</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反映绿化存活的情况。绿化存活率=存活绿化数（面积）/总绿化数（面积）*100%</w:t>
            </w:r>
          </w:p>
        </w:tc>
      </w:tr>
      <w:tr>
        <w:tblPrEx>
          <w:tblCellMar>
            <w:top w:w="0" w:type="dxa"/>
            <w:left w:w="0" w:type="dxa"/>
            <w:bottom w:w="0" w:type="dxa"/>
            <w:right w:w="0" w:type="dxa"/>
          </w:tblCellMar>
        </w:tblPrEx>
        <w:trPr>
          <w:trHeight w:val="1601"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卫生保洁合格率</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定性指标</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反映卫生保洁检查验收合格的情况。卫生保洁合格率=卫生保洁检查验收合格次数/卫生保洁总次数*100%</w:t>
            </w:r>
          </w:p>
        </w:tc>
      </w:tr>
      <w:tr>
        <w:tblPrEx>
          <w:tblCellMar>
            <w:top w:w="0" w:type="dxa"/>
            <w:left w:w="0" w:type="dxa"/>
            <w:bottom w:w="0" w:type="dxa"/>
            <w:right w:w="0" w:type="dxa"/>
          </w:tblCellMar>
        </w:tblPrEx>
        <w:trPr>
          <w:trHeight w:val="1601"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物管人员在岗率</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反映安保、消防服务人员等物管人员在岗的情况。物管人员在岗率=实际在岗工时/应在岗工时*100%</w:t>
            </w:r>
          </w:p>
        </w:tc>
      </w:tr>
      <w:tr>
        <w:tblPrEx>
          <w:tblCellMar>
            <w:top w:w="0" w:type="dxa"/>
            <w:left w:w="0" w:type="dxa"/>
            <w:bottom w:w="0" w:type="dxa"/>
            <w:right w:w="0" w:type="dxa"/>
          </w:tblCellMar>
        </w:tblPrEx>
        <w:trPr>
          <w:trHeight w:val="119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后勤保障成本</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&lt;=</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2800元/人，16人</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反映人均后勤管理服务的成本控制情况，包括合同约定的服务区域总和。</w:t>
            </w:r>
          </w:p>
        </w:tc>
      </w:tr>
      <w:tr>
        <w:tblPrEx>
          <w:tblCellMar>
            <w:top w:w="0" w:type="dxa"/>
            <w:left w:w="0" w:type="dxa"/>
            <w:bottom w:w="0" w:type="dxa"/>
            <w:right w:w="0" w:type="dxa"/>
          </w:tblCellMar>
        </w:tblPrEx>
        <w:trPr>
          <w:trHeight w:val="1932"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物业服务需求保障程度</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定性指标</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反映绿化、安保、安防、保洁等服务满足委托单位的程度。（实际运用时根据项目对物业的需求，主要通过整体评价的方式进行评价。）</w:t>
            </w:r>
          </w:p>
        </w:tc>
      </w:tr>
      <w:tr>
        <w:tblPrEx>
          <w:tblCellMar>
            <w:top w:w="0" w:type="dxa"/>
            <w:left w:w="0" w:type="dxa"/>
            <w:bottom w:w="0" w:type="dxa"/>
            <w:right w:w="0" w:type="dxa"/>
          </w:tblCellMar>
        </w:tblPrEx>
        <w:trPr>
          <w:trHeight w:val="1016"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服务受益人员满意度</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定性指标</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反映保安、保洁、餐饮服务、绿化养护服务受益人员满意程度。</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A606B"/>
    <w:rsid w:val="26E41D7A"/>
    <w:rsid w:val="2A3A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2021-02-09T10:36:00Z</dcterms:created>
  <dc:creator>CW</dc:creator>
  <cp:lastModifiedBy>Administrator</cp:lastModifiedBy>
  <dcterms:modified xsi:type="dcterms:W3CDTF">2021-02-10T04:16:13Z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