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D9" w:rsidRDefault="00B54E70" w:rsidP="009045D9">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中国共产党昆明市呈贡区委员会宣传部</w:t>
      </w:r>
    </w:p>
    <w:p w:rsidR="00C35F94" w:rsidRPr="009045D9" w:rsidRDefault="00314016" w:rsidP="009045D9">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2021</w:t>
      </w:r>
      <w:r w:rsidR="00B54E70">
        <w:rPr>
          <w:rFonts w:ascii="方正小标宋简体" w:eastAsia="方正小标宋简体" w:hint="eastAsia"/>
          <w:sz w:val="36"/>
          <w:szCs w:val="36"/>
        </w:rPr>
        <w:t>年</w:t>
      </w:r>
      <w:r w:rsidR="0095201F">
        <w:rPr>
          <w:rFonts w:ascii="方正小标宋简体" w:eastAsia="方正小标宋简体" w:hAnsi="华文中宋" w:hint="eastAsia"/>
          <w:spacing w:val="14"/>
          <w:sz w:val="36"/>
          <w:szCs w:val="36"/>
        </w:rPr>
        <w:t>宣传活动</w:t>
      </w:r>
      <w:r w:rsidR="00B54E70">
        <w:rPr>
          <w:rFonts w:ascii="方正小标宋简体" w:eastAsia="方正小标宋简体" w:hAnsi="华文中宋" w:hint="eastAsia"/>
          <w:spacing w:val="14"/>
          <w:sz w:val="36"/>
          <w:szCs w:val="36"/>
        </w:rPr>
        <w:t>经费项目</w:t>
      </w:r>
    </w:p>
    <w:p w:rsidR="00C35F94" w:rsidRDefault="00C35F94">
      <w:pPr>
        <w:snapToGrid w:val="0"/>
        <w:spacing w:line="570" w:lineRule="exact"/>
        <w:jc w:val="center"/>
        <w:rPr>
          <w:rFonts w:ascii="方正小标宋简体" w:eastAsia="方正小标宋简体" w:hAnsi="华文中宋"/>
          <w:spacing w:val="14"/>
          <w:sz w:val="44"/>
          <w:szCs w:val="44"/>
        </w:rPr>
      </w:pPr>
    </w:p>
    <w:p w:rsidR="00C35F94" w:rsidRDefault="00B54E70">
      <w:pPr>
        <w:widowControl/>
        <w:numPr>
          <w:ilvl w:val="0"/>
          <w:numId w:val="1"/>
        </w:numPr>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C35F94" w:rsidRPr="009045D9" w:rsidRDefault="00B54E70">
      <w:pPr>
        <w:widowControl/>
        <w:jc w:val="left"/>
        <w:rPr>
          <w:rFonts w:ascii="仿宋" w:eastAsia="仿宋" w:hAnsi="仿宋"/>
          <w:kern w:val="0"/>
          <w:sz w:val="30"/>
          <w:szCs w:val="30"/>
        </w:rPr>
      </w:pPr>
      <w:r>
        <w:rPr>
          <w:rFonts w:ascii="仿宋_GB2312" w:eastAsia="仿宋_GB2312" w:hAnsi="仿宋_GB2312" w:cs="仿宋_GB2312" w:hint="eastAsia"/>
          <w:spacing w:val="14"/>
          <w:sz w:val="32"/>
          <w:szCs w:val="32"/>
        </w:rPr>
        <w:t xml:space="preserve">  </w:t>
      </w:r>
      <w:r w:rsidR="00540150">
        <w:rPr>
          <w:rFonts w:ascii="仿宋_GB2312" w:eastAsia="仿宋_GB2312" w:hAnsi="仿宋_GB2312" w:cs="仿宋_GB2312" w:hint="eastAsia"/>
          <w:spacing w:val="14"/>
          <w:sz w:val="32"/>
          <w:szCs w:val="32"/>
        </w:rPr>
        <w:t xml:space="preserve"> </w:t>
      </w:r>
      <w:r w:rsidR="0095201F" w:rsidRPr="009045D9">
        <w:rPr>
          <w:rFonts w:ascii="仿宋" w:eastAsia="仿宋" w:hAnsi="仿宋" w:hint="eastAsia"/>
          <w:kern w:val="0"/>
          <w:sz w:val="30"/>
          <w:szCs w:val="30"/>
        </w:rPr>
        <w:t>宣传活动经费</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C35F94" w:rsidRPr="009045D9" w:rsidRDefault="008412CC"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区委常委会或区政府常务会会议纪要</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C35F94" w:rsidRPr="009045D9" w:rsidRDefault="00B54E70"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单位名称：中国共产党昆明市呈贡区委员会宣传部</w:t>
      </w:r>
    </w:p>
    <w:p w:rsidR="00C35F94" w:rsidRPr="009045D9" w:rsidRDefault="00B54E70"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组织机构代码：115301210151295790</w:t>
      </w:r>
    </w:p>
    <w:p w:rsidR="00C35F94" w:rsidRPr="009045D9" w:rsidRDefault="00B54E70"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地址：昆明市呈贡区龙城街道祥和街547号公安大楼9楼</w:t>
      </w:r>
    </w:p>
    <w:p w:rsidR="00C35F94" w:rsidRPr="009045D9" w:rsidRDefault="00B54E70"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联系电话：0871-67479273</w:t>
      </w:r>
    </w:p>
    <w:p w:rsidR="00C35F94" w:rsidRPr="009045D9" w:rsidRDefault="00B54E70"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法人代表：李晓云</w:t>
      </w:r>
    </w:p>
    <w:p w:rsidR="00C35F94" w:rsidRPr="009045D9" w:rsidRDefault="00B54E70" w:rsidP="009045D9">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经费来源：</w:t>
      </w:r>
      <w:r w:rsidR="00D06106">
        <w:rPr>
          <w:rFonts w:ascii="仿宋" w:eastAsia="仿宋" w:hAnsi="仿宋" w:hint="eastAsia"/>
          <w:kern w:val="0"/>
          <w:sz w:val="30"/>
          <w:szCs w:val="30"/>
        </w:rPr>
        <w:t>区级财政预算</w:t>
      </w:r>
    </w:p>
    <w:p w:rsidR="00314016" w:rsidRPr="009910B3" w:rsidRDefault="00314016" w:rsidP="00314016">
      <w:pPr>
        <w:widowControl/>
        <w:spacing w:line="560" w:lineRule="exact"/>
        <w:ind w:firstLineChars="150" w:firstLine="522"/>
        <w:jc w:val="left"/>
        <w:rPr>
          <w:rFonts w:eastAsia="仿宋_GB2312"/>
          <w:kern w:val="0"/>
          <w:sz w:val="32"/>
          <w:szCs w:val="32"/>
        </w:rPr>
      </w:pPr>
      <w:r>
        <w:rPr>
          <w:rFonts w:ascii="仿宋" w:eastAsia="仿宋" w:hAnsi="仿宋" w:cs="仿宋_GB2312" w:hint="eastAsia"/>
          <w:spacing w:val="14"/>
          <w:sz w:val="32"/>
          <w:szCs w:val="32"/>
        </w:rPr>
        <w:t>单位</w:t>
      </w:r>
      <w:r w:rsidRPr="003B2C59">
        <w:rPr>
          <w:rFonts w:ascii="仿宋" w:eastAsia="仿宋" w:hAnsi="仿宋" w:cs="仿宋_GB2312" w:hint="eastAsia"/>
          <w:spacing w:val="14"/>
          <w:sz w:val="32"/>
          <w:szCs w:val="32"/>
        </w:rPr>
        <w:t>概况：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w:t>
      </w:r>
      <w:r>
        <w:rPr>
          <w:rFonts w:ascii="仿宋" w:eastAsia="仿宋" w:hAnsi="仿宋" w:cs="仿宋_GB2312" w:hint="eastAsia"/>
          <w:spacing w:val="14"/>
          <w:sz w:val="32"/>
          <w:szCs w:val="32"/>
        </w:rPr>
        <w:t>2</w:t>
      </w:r>
      <w:r w:rsidRPr="003B2C59">
        <w:rPr>
          <w:rFonts w:ascii="仿宋" w:eastAsia="仿宋" w:hAnsi="仿宋" w:cs="仿宋_GB2312" w:hint="eastAsia"/>
          <w:spacing w:val="14"/>
          <w:sz w:val="32"/>
          <w:szCs w:val="32"/>
        </w:rPr>
        <w:t>个二级预算单位，分别为区文联、</w:t>
      </w:r>
      <w:r>
        <w:rPr>
          <w:rFonts w:ascii="仿宋" w:eastAsia="仿宋" w:hAnsi="仿宋" w:cs="仿宋_GB2312" w:hint="eastAsia"/>
          <w:spacing w:val="14"/>
          <w:sz w:val="32"/>
          <w:szCs w:val="32"/>
        </w:rPr>
        <w:t>区融媒体中心</w:t>
      </w:r>
      <w:r w:rsidRPr="003B2C59">
        <w:rPr>
          <w:rFonts w:ascii="仿宋" w:eastAsia="仿宋" w:hAnsi="仿宋" w:cs="仿宋_GB2312" w:hint="eastAsia"/>
          <w:spacing w:val="14"/>
          <w:sz w:val="32"/>
          <w:szCs w:val="32"/>
        </w:rPr>
        <w:t>。</w:t>
      </w:r>
      <w:r w:rsidRPr="009910B3">
        <w:rPr>
          <w:rFonts w:eastAsia="仿宋_GB2312" w:hint="eastAsia"/>
          <w:kern w:val="0"/>
          <w:sz w:val="32"/>
          <w:szCs w:val="32"/>
        </w:rPr>
        <w:t>宣传部机关下设</w:t>
      </w:r>
      <w:r w:rsidRPr="009910B3">
        <w:rPr>
          <w:rFonts w:eastAsia="仿宋_GB2312" w:hint="eastAsia"/>
          <w:kern w:val="0"/>
          <w:sz w:val="32"/>
          <w:szCs w:val="32"/>
        </w:rPr>
        <w:t>7</w:t>
      </w:r>
      <w:r w:rsidRPr="009910B3">
        <w:rPr>
          <w:rFonts w:eastAsia="仿宋_GB2312" w:hint="eastAsia"/>
          <w:kern w:val="0"/>
          <w:sz w:val="32"/>
          <w:szCs w:val="32"/>
        </w:rPr>
        <w:t>个科室，分别为办公室、理论科、</w:t>
      </w:r>
      <w:r w:rsidRPr="009910B3">
        <w:rPr>
          <w:rFonts w:eastAsia="仿宋_GB2312"/>
          <w:kern w:val="0"/>
          <w:sz w:val="32"/>
          <w:szCs w:val="32"/>
        </w:rPr>
        <w:t>文化</w:t>
      </w:r>
      <w:r w:rsidRPr="009910B3">
        <w:rPr>
          <w:rFonts w:eastAsia="仿宋_GB2312" w:hint="eastAsia"/>
          <w:kern w:val="0"/>
          <w:sz w:val="32"/>
          <w:szCs w:val="32"/>
        </w:rPr>
        <w:t>文产科、</w:t>
      </w:r>
      <w:r w:rsidRPr="009910B3">
        <w:rPr>
          <w:rFonts w:eastAsia="仿宋_GB2312"/>
          <w:kern w:val="0"/>
          <w:sz w:val="32"/>
          <w:szCs w:val="32"/>
        </w:rPr>
        <w:t>新闻</w:t>
      </w:r>
      <w:r w:rsidRPr="009910B3">
        <w:rPr>
          <w:rFonts w:eastAsia="仿宋_GB2312" w:hint="eastAsia"/>
          <w:kern w:val="0"/>
          <w:sz w:val="32"/>
          <w:szCs w:val="32"/>
        </w:rPr>
        <w:t>宣传科、</w:t>
      </w:r>
      <w:r w:rsidRPr="009910B3">
        <w:rPr>
          <w:rFonts w:eastAsia="仿宋_GB2312"/>
          <w:kern w:val="0"/>
          <w:sz w:val="32"/>
          <w:szCs w:val="32"/>
        </w:rPr>
        <w:t>广电出版（版权）电影科</w:t>
      </w:r>
      <w:r w:rsidRPr="009910B3">
        <w:rPr>
          <w:rFonts w:eastAsia="仿宋_GB2312" w:hint="eastAsia"/>
          <w:kern w:val="0"/>
          <w:sz w:val="32"/>
          <w:szCs w:val="32"/>
        </w:rPr>
        <w:t>、</w:t>
      </w:r>
      <w:proofErr w:type="gramStart"/>
      <w:r w:rsidRPr="009910B3">
        <w:rPr>
          <w:rFonts w:eastAsia="仿宋_GB2312"/>
          <w:kern w:val="0"/>
          <w:sz w:val="32"/>
          <w:szCs w:val="32"/>
        </w:rPr>
        <w:t>区委网信办</w:t>
      </w:r>
      <w:proofErr w:type="gramEnd"/>
      <w:r w:rsidRPr="009910B3">
        <w:rPr>
          <w:rFonts w:eastAsia="仿宋_GB2312"/>
          <w:kern w:val="0"/>
          <w:sz w:val="32"/>
          <w:szCs w:val="32"/>
        </w:rPr>
        <w:t>秘书科</w:t>
      </w:r>
      <w:r w:rsidRPr="009910B3">
        <w:rPr>
          <w:rFonts w:eastAsia="仿宋_GB2312" w:hint="eastAsia"/>
          <w:kern w:val="0"/>
          <w:sz w:val="32"/>
          <w:szCs w:val="32"/>
        </w:rPr>
        <w:t>、区文明办。</w:t>
      </w:r>
    </w:p>
    <w:p w:rsidR="00C35F94" w:rsidRDefault="00314016" w:rsidP="00314016">
      <w:pPr>
        <w:widowControl/>
        <w:ind w:firstLineChars="250" w:firstLine="750"/>
        <w:jc w:val="left"/>
        <w:rPr>
          <w:rFonts w:ascii="黑体" w:eastAsia="黑体" w:hAnsi="黑体" w:cs="黑体"/>
          <w:kern w:val="0"/>
          <w:sz w:val="30"/>
          <w:szCs w:val="30"/>
        </w:rPr>
      </w:pPr>
      <w:r>
        <w:rPr>
          <w:rFonts w:ascii="黑体" w:eastAsia="黑体" w:hAnsi="黑体" w:cs="黑体" w:hint="eastAsia"/>
          <w:kern w:val="0"/>
          <w:sz w:val="30"/>
          <w:szCs w:val="30"/>
        </w:rPr>
        <w:t>四、</w:t>
      </w:r>
      <w:r w:rsidR="00B54E70">
        <w:rPr>
          <w:rFonts w:ascii="黑体" w:eastAsia="黑体" w:hAnsi="黑体" w:cs="黑体" w:hint="eastAsia"/>
          <w:kern w:val="0"/>
          <w:sz w:val="30"/>
          <w:szCs w:val="30"/>
        </w:rPr>
        <w:t>项目基本概况</w:t>
      </w:r>
    </w:p>
    <w:p w:rsidR="00C35F94" w:rsidRDefault="006B39F2" w:rsidP="009045D9">
      <w:pPr>
        <w:widowControl/>
        <w:ind w:firstLineChars="200" w:firstLine="600"/>
        <w:jc w:val="left"/>
        <w:rPr>
          <w:rFonts w:eastAsia="仿宋_GB2312"/>
          <w:kern w:val="0"/>
          <w:sz w:val="30"/>
          <w:szCs w:val="30"/>
        </w:rPr>
      </w:pPr>
      <w:r w:rsidRPr="009045D9">
        <w:rPr>
          <w:rFonts w:ascii="仿宋" w:eastAsia="仿宋" w:hAnsi="仿宋" w:hint="eastAsia"/>
          <w:kern w:val="0"/>
          <w:sz w:val="30"/>
          <w:szCs w:val="30"/>
        </w:rPr>
        <w:lastRenderedPageBreak/>
        <w:t>配合中央、省、市的宣传工作要求，围绕区委区政府工作重点，开展多项、多样的宣传活动，提升呈贡形象。</w:t>
      </w:r>
    </w:p>
    <w:p w:rsidR="00C35F94" w:rsidRDefault="00B54E70" w:rsidP="006B39F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C35F94" w:rsidRDefault="00540150">
      <w:pPr>
        <w:widowControl/>
        <w:ind w:firstLineChars="200" w:firstLine="600"/>
        <w:jc w:val="left"/>
        <w:rPr>
          <w:rFonts w:eastAsia="仿宋_GB2312"/>
          <w:kern w:val="0"/>
          <w:sz w:val="30"/>
          <w:szCs w:val="30"/>
        </w:rPr>
      </w:pPr>
      <w:r w:rsidRPr="009045D9">
        <w:rPr>
          <w:rFonts w:ascii="仿宋" w:eastAsia="仿宋" w:hAnsi="仿宋" w:hint="eastAsia"/>
          <w:kern w:val="0"/>
          <w:sz w:val="30"/>
          <w:szCs w:val="30"/>
        </w:rPr>
        <w:t>结合区委区政府工作重点，积极策划组织内容健康向上、形式多样的宣传活动</w:t>
      </w:r>
      <w:r w:rsidR="007D7823" w:rsidRPr="009045D9">
        <w:rPr>
          <w:rFonts w:ascii="仿宋" w:eastAsia="仿宋" w:hAnsi="仿宋" w:hint="eastAsia"/>
          <w:kern w:val="0"/>
          <w:sz w:val="30"/>
          <w:szCs w:val="30"/>
        </w:rPr>
        <w:t xml:space="preserve"> </w:t>
      </w:r>
      <w:r w:rsidR="006B39F2" w:rsidRPr="009045D9">
        <w:rPr>
          <w:rFonts w:ascii="仿宋" w:eastAsia="仿宋" w:hAnsi="仿宋" w:hint="eastAsia"/>
          <w:kern w:val="0"/>
          <w:sz w:val="30"/>
          <w:szCs w:val="30"/>
        </w:rPr>
        <w:t>。</w:t>
      </w:r>
    </w:p>
    <w:p w:rsidR="00C35F94" w:rsidRDefault="00B54E70" w:rsidP="00314016">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资金安排情况</w:t>
      </w:r>
    </w:p>
    <w:p w:rsidR="00C35F94" w:rsidRPr="009045D9" w:rsidRDefault="00B54E70">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资金来源为区级财政，</w:t>
      </w:r>
      <w:r w:rsidRPr="00D3723A">
        <w:rPr>
          <w:rFonts w:ascii="仿宋" w:eastAsia="仿宋" w:hAnsi="仿宋" w:hint="eastAsia"/>
          <w:color w:val="000000" w:themeColor="text1"/>
          <w:kern w:val="0"/>
          <w:sz w:val="30"/>
          <w:szCs w:val="30"/>
        </w:rPr>
        <w:t>年度资金总投入</w:t>
      </w:r>
      <w:r w:rsidR="004C1397" w:rsidRPr="00D3723A">
        <w:rPr>
          <w:rFonts w:ascii="仿宋" w:eastAsia="仿宋" w:hAnsi="仿宋" w:hint="eastAsia"/>
          <w:color w:val="000000" w:themeColor="text1"/>
          <w:kern w:val="0"/>
          <w:sz w:val="30"/>
          <w:szCs w:val="30"/>
        </w:rPr>
        <w:t>257.91</w:t>
      </w:r>
      <w:r w:rsidRPr="00D3723A">
        <w:rPr>
          <w:rFonts w:ascii="仿宋" w:eastAsia="仿宋" w:hAnsi="仿宋" w:hint="eastAsia"/>
          <w:color w:val="000000" w:themeColor="text1"/>
          <w:kern w:val="0"/>
          <w:sz w:val="30"/>
          <w:szCs w:val="30"/>
        </w:rPr>
        <w:t>万元</w:t>
      </w:r>
      <w:r w:rsidRPr="009045D9">
        <w:rPr>
          <w:rFonts w:ascii="仿宋" w:eastAsia="仿宋" w:hAnsi="仿宋" w:hint="eastAsia"/>
          <w:kern w:val="0"/>
          <w:sz w:val="30"/>
          <w:szCs w:val="30"/>
        </w:rPr>
        <w:t>。</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项目实施计划</w:t>
      </w:r>
    </w:p>
    <w:p w:rsidR="00540150" w:rsidRPr="00D3723A" w:rsidRDefault="00B54E70" w:rsidP="004C1397">
      <w:pPr>
        <w:widowControl/>
        <w:ind w:firstLineChars="200" w:firstLine="600"/>
        <w:jc w:val="left"/>
        <w:rPr>
          <w:rFonts w:ascii="仿宋" w:eastAsia="仿宋" w:hAnsi="仿宋"/>
          <w:color w:val="000000" w:themeColor="text1"/>
          <w:kern w:val="0"/>
          <w:sz w:val="30"/>
          <w:szCs w:val="30"/>
        </w:rPr>
      </w:pPr>
      <w:r w:rsidRPr="00D3723A">
        <w:rPr>
          <w:rFonts w:ascii="仿宋" w:eastAsia="仿宋" w:hAnsi="仿宋" w:hint="eastAsia"/>
          <w:color w:val="000000" w:themeColor="text1"/>
          <w:kern w:val="0"/>
          <w:sz w:val="30"/>
          <w:szCs w:val="30"/>
        </w:rPr>
        <w:t>全年计划</w:t>
      </w:r>
      <w:r w:rsidR="00540150" w:rsidRPr="00D3723A">
        <w:rPr>
          <w:rFonts w:ascii="仿宋" w:eastAsia="仿宋" w:hAnsi="仿宋" w:hint="eastAsia"/>
          <w:color w:val="000000" w:themeColor="text1"/>
          <w:kern w:val="0"/>
          <w:sz w:val="30"/>
          <w:szCs w:val="30"/>
        </w:rPr>
        <w:t>开展</w:t>
      </w:r>
      <w:r w:rsidR="004C1397" w:rsidRPr="00D3723A">
        <w:rPr>
          <w:rFonts w:ascii="仿宋" w:eastAsia="仿宋" w:hAnsi="仿宋" w:hint="eastAsia"/>
          <w:color w:val="000000" w:themeColor="text1"/>
          <w:kern w:val="0"/>
          <w:sz w:val="30"/>
          <w:szCs w:val="30"/>
        </w:rPr>
        <w:t>万溪冲梨花节、采摘节、七步场豆腐文化节、大学生艺术节、</w:t>
      </w:r>
      <w:proofErr w:type="gramStart"/>
      <w:r w:rsidR="004C1397" w:rsidRPr="00D3723A">
        <w:rPr>
          <w:rFonts w:ascii="仿宋" w:eastAsia="仿宋" w:hAnsi="仿宋" w:hint="eastAsia"/>
          <w:color w:val="000000" w:themeColor="text1"/>
          <w:kern w:val="0"/>
          <w:sz w:val="30"/>
          <w:szCs w:val="30"/>
        </w:rPr>
        <w:t>洛</w:t>
      </w:r>
      <w:proofErr w:type="gramEnd"/>
      <w:r w:rsidR="004C1397" w:rsidRPr="00D3723A">
        <w:rPr>
          <w:rFonts w:ascii="仿宋" w:eastAsia="仿宋" w:hAnsi="仿宋" w:hint="eastAsia"/>
          <w:color w:val="000000" w:themeColor="text1"/>
          <w:kern w:val="0"/>
          <w:sz w:val="30"/>
          <w:szCs w:val="30"/>
        </w:rPr>
        <w:t>龙火把节、2021年文化卫生科技“三下乡”、云岭</w:t>
      </w:r>
      <w:proofErr w:type="gramStart"/>
      <w:r w:rsidR="004C1397" w:rsidRPr="00D3723A">
        <w:rPr>
          <w:rFonts w:ascii="仿宋" w:eastAsia="仿宋" w:hAnsi="仿宋" w:hint="eastAsia"/>
          <w:color w:val="000000" w:themeColor="text1"/>
          <w:kern w:val="0"/>
          <w:sz w:val="30"/>
          <w:szCs w:val="30"/>
        </w:rPr>
        <w:t>先锋颂冀迎接</w:t>
      </w:r>
      <w:proofErr w:type="gramEnd"/>
      <w:r w:rsidR="004C1397" w:rsidRPr="00D3723A">
        <w:rPr>
          <w:rFonts w:ascii="仿宋" w:eastAsia="仿宋" w:hAnsi="仿宋" w:hint="eastAsia"/>
          <w:color w:val="000000" w:themeColor="text1"/>
          <w:kern w:val="0"/>
          <w:sz w:val="30"/>
          <w:szCs w:val="30"/>
        </w:rPr>
        <w:t>建党100周年合唱比赛</w:t>
      </w:r>
      <w:r w:rsidR="006B39F2" w:rsidRPr="00D3723A">
        <w:rPr>
          <w:rFonts w:ascii="仿宋" w:eastAsia="仿宋" w:hAnsi="仿宋" w:hint="eastAsia"/>
          <w:color w:val="000000" w:themeColor="text1"/>
          <w:kern w:val="0"/>
          <w:sz w:val="30"/>
          <w:szCs w:val="30"/>
        </w:rPr>
        <w:t>等活动，</w:t>
      </w:r>
      <w:r w:rsidR="008D69D9" w:rsidRPr="00D3723A">
        <w:rPr>
          <w:rFonts w:ascii="仿宋" w:eastAsia="仿宋" w:hAnsi="仿宋" w:hint="eastAsia"/>
          <w:color w:val="000000" w:themeColor="text1"/>
          <w:kern w:val="0"/>
          <w:sz w:val="30"/>
          <w:szCs w:val="30"/>
        </w:rPr>
        <w:t>做好建党100周年、呈贡撤县设区10周年、《生物多样性公约》第十五次缔约方会议等活动宣传，为国家、省、市重要会议、重大活动营造氛围，对广告牌、宣传栏进行维护、修理、刷漆工作，征订党报党刊。</w:t>
      </w:r>
    </w:p>
    <w:p w:rsidR="00C35F94" w:rsidRDefault="00540150" w:rsidP="006B39F2">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八、</w:t>
      </w:r>
      <w:r w:rsidR="00B54E70">
        <w:rPr>
          <w:rFonts w:ascii="黑体" w:eastAsia="黑体" w:hAnsi="黑体" w:cs="黑体" w:hint="eastAsia"/>
          <w:kern w:val="0"/>
          <w:sz w:val="30"/>
          <w:szCs w:val="30"/>
        </w:rPr>
        <w:t>项目实施成效</w:t>
      </w:r>
    </w:p>
    <w:p w:rsidR="00540150" w:rsidRPr="009045D9" w:rsidRDefault="00540150" w:rsidP="00540150">
      <w:pPr>
        <w:widowControl/>
        <w:ind w:firstLineChars="200" w:firstLine="600"/>
        <w:jc w:val="left"/>
        <w:rPr>
          <w:rFonts w:ascii="仿宋" w:eastAsia="仿宋" w:hAnsi="仿宋"/>
          <w:kern w:val="0"/>
          <w:sz w:val="30"/>
          <w:szCs w:val="30"/>
        </w:rPr>
      </w:pPr>
      <w:r w:rsidRPr="009045D9">
        <w:rPr>
          <w:rFonts w:ascii="仿宋" w:eastAsia="仿宋" w:hAnsi="仿宋" w:hint="eastAsia"/>
          <w:kern w:val="0"/>
          <w:sz w:val="30"/>
          <w:szCs w:val="30"/>
        </w:rPr>
        <w:t>展示新区建设成果及未来前景，营造稳定和谐良好氛围，吸引更多支持和投资，有力推动新区建设。</w:t>
      </w:r>
    </w:p>
    <w:p w:rsidR="00C35F94" w:rsidRPr="00540150" w:rsidRDefault="00540150" w:rsidP="00540150">
      <w:pPr>
        <w:widowControl/>
        <w:ind w:firstLineChars="200" w:firstLine="600"/>
        <w:jc w:val="left"/>
        <w:rPr>
          <w:rFonts w:ascii="黑体" w:eastAsia="黑体" w:hAnsi="黑体" w:cs="黑体"/>
          <w:kern w:val="0"/>
          <w:sz w:val="30"/>
          <w:szCs w:val="30"/>
        </w:rPr>
      </w:pPr>
      <w:r>
        <w:rPr>
          <w:rFonts w:eastAsia="仿宋_GB2312" w:hint="eastAsia"/>
          <w:kern w:val="0"/>
          <w:sz w:val="30"/>
          <w:szCs w:val="30"/>
        </w:rPr>
        <w:t>九、</w:t>
      </w:r>
      <w:r w:rsidR="00B54E70" w:rsidRPr="00540150">
        <w:rPr>
          <w:rFonts w:ascii="黑体" w:eastAsia="黑体" w:hAnsi="黑体" w:cs="黑体" w:hint="eastAsia"/>
          <w:kern w:val="0"/>
          <w:sz w:val="30"/>
          <w:szCs w:val="30"/>
        </w:rPr>
        <w:t>项目绩效目标表</w:t>
      </w:r>
    </w:p>
    <w:p w:rsidR="00C35F94" w:rsidRDefault="00FC17F5" w:rsidP="00B61A40">
      <w:pPr>
        <w:widowControl/>
        <w:jc w:val="left"/>
        <w:rPr>
          <w:rFonts w:ascii="黑体" w:eastAsia="黑体" w:hAnsi="黑体" w:cs="黑体" w:hint="eastAsia"/>
          <w:kern w:val="0"/>
          <w:sz w:val="30"/>
          <w:szCs w:val="30"/>
        </w:rPr>
      </w:pPr>
      <w:bookmarkStart w:id="0" w:name="_GoBack"/>
      <w:bookmarkEnd w:id="0"/>
      <w:r w:rsidRPr="00FC17F5">
        <w:rPr>
          <w:rFonts w:hint="eastAsia"/>
          <w:szCs w:val="30"/>
        </w:rPr>
        <w:lastRenderedPageBreak/>
        <w:drawing>
          <wp:inline distT="0" distB="0" distL="0" distR="0">
            <wp:extent cx="5421630" cy="7787640"/>
            <wp:effectExtent l="19050" t="0" r="762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422935" cy="7789514"/>
                    </a:xfrm>
                    <a:prstGeom prst="rect">
                      <a:avLst/>
                    </a:prstGeom>
                    <a:noFill/>
                    <a:ln w="9525">
                      <a:noFill/>
                      <a:miter lim="800000"/>
                      <a:headEnd/>
                      <a:tailEnd/>
                    </a:ln>
                  </pic:spPr>
                </pic:pic>
              </a:graphicData>
            </a:graphic>
          </wp:inline>
        </w:drawing>
      </w:r>
    </w:p>
    <w:p w:rsidR="00D3723A" w:rsidRDefault="00D3723A" w:rsidP="00B61A40">
      <w:pPr>
        <w:widowControl/>
        <w:jc w:val="left"/>
        <w:rPr>
          <w:rFonts w:ascii="黑体" w:eastAsia="黑体" w:hAnsi="黑体" w:cs="黑体" w:hint="eastAsia"/>
          <w:kern w:val="0"/>
          <w:sz w:val="30"/>
          <w:szCs w:val="30"/>
        </w:rPr>
      </w:pPr>
    </w:p>
    <w:p w:rsidR="00D3723A" w:rsidRDefault="00D3723A" w:rsidP="00B61A40">
      <w:pPr>
        <w:widowControl/>
        <w:jc w:val="left"/>
        <w:rPr>
          <w:rFonts w:ascii="黑体" w:eastAsia="黑体" w:hAnsi="黑体" w:cs="黑体" w:hint="eastAsia"/>
          <w:kern w:val="0"/>
          <w:sz w:val="30"/>
          <w:szCs w:val="30"/>
        </w:rPr>
      </w:pPr>
    </w:p>
    <w:p w:rsidR="00D3723A" w:rsidRDefault="00D3723A" w:rsidP="00B61A40">
      <w:pPr>
        <w:widowControl/>
        <w:jc w:val="left"/>
        <w:rPr>
          <w:rFonts w:ascii="黑体" w:eastAsia="黑体" w:hAnsi="黑体" w:cs="黑体" w:hint="eastAsia"/>
          <w:kern w:val="0"/>
          <w:sz w:val="30"/>
          <w:szCs w:val="30"/>
        </w:rPr>
      </w:pPr>
    </w:p>
    <w:p w:rsidR="00D3723A" w:rsidRDefault="00D3723A" w:rsidP="00B61A40">
      <w:pPr>
        <w:widowControl/>
        <w:jc w:val="left"/>
        <w:rPr>
          <w:rFonts w:ascii="黑体" w:eastAsia="黑体" w:hAnsi="黑体" w:cs="黑体"/>
          <w:kern w:val="0"/>
          <w:sz w:val="30"/>
          <w:szCs w:val="30"/>
        </w:rPr>
      </w:pPr>
    </w:p>
    <w:sectPr w:rsidR="00D3723A" w:rsidSect="00C35F94">
      <w:headerReference w:type="even" r:id="rId9"/>
      <w:headerReference w:type="default" r:id="rId10"/>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B3" w:rsidRDefault="007E44B3" w:rsidP="00C35F94">
      <w:r>
        <w:separator/>
      </w:r>
    </w:p>
  </w:endnote>
  <w:endnote w:type="continuationSeparator" w:id="0">
    <w:p w:rsidR="007E44B3" w:rsidRDefault="007E44B3" w:rsidP="00C35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B3" w:rsidRDefault="007E44B3" w:rsidP="00C35F94">
      <w:r>
        <w:separator/>
      </w:r>
    </w:p>
  </w:footnote>
  <w:footnote w:type="continuationSeparator" w:id="0">
    <w:p w:rsidR="007E44B3" w:rsidRDefault="007E44B3" w:rsidP="00C35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2F58"/>
    <w:multiLevelType w:val="hybridMultilevel"/>
    <w:tmpl w:val="A926BE44"/>
    <w:lvl w:ilvl="0" w:tplc="CA00E556">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0CB686"/>
    <w:multiLevelType w:val="singleLevel"/>
    <w:tmpl w:val="650CB68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69B"/>
    <w:rsid w:val="00060B5F"/>
    <w:rsid w:val="00063177"/>
    <w:rsid w:val="00064C37"/>
    <w:rsid w:val="00070204"/>
    <w:rsid w:val="00073344"/>
    <w:rsid w:val="00074721"/>
    <w:rsid w:val="000769F7"/>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6ADF"/>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4016"/>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463F"/>
    <w:rsid w:val="00467CD2"/>
    <w:rsid w:val="004718A9"/>
    <w:rsid w:val="00476EC1"/>
    <w:rsid w:val="00480582"/>
    <w:rsid w:val="00484751"/>
    <w:rsid w:val="0048694C"/>
    <w:rsid w:val="004911B1"/>
    <w:rsid w:val="00495E43"/>
    <w:rsid w:val="004A362F"/>
    <w:rsid w:val="004A742B"/>
    <w:rsid w:val="004B29ED"/>
    <w:rsid w:val="004B50FC"/>
    <w:rsid w:val="004C064B"/>
    <w:rsid w:val="004C1397"/>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645A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4B3"/>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D69D9"/>
    <w:rsid w:val="008E0B11"/>
    <w:rsid w:val="008E2734"/>
    <w:rsid w:val="008E5296"/>
    <w:rsid w:val="008F35F1"/>
    <w:rsid w:val="008F3FB1"/>
    <w:rsid w:val="009008F4"/>
    <w:rsid w:val="00901A1A"/>
    <w:rsid w:val="009020BF"/>
    <w:rsid w:val="009045D9"/>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46D3"/>
    <w:rsid w:val="00AB5C67"/>
    <w:rsid w:val="00AB7C98"/>
    <w:rsid w:val="00AC47D9"/>
    <w:rsid w:val="00AD0DA1"/>
    <w:rsid w:val="00AE0209"/>
    <w:rsid w:val="00AE0AF6"/>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61A40"/>
    <w:rsid w:val="00B62018"/>
    <w:rsid w:val="00B63114"/>
    <w:rsid w:val="00B64A22"/>
    <w:rsid w:val="00B64F96"/>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A6590"/>
    <w:rsid w:val="00CB1858"/>
    <w:rsid w:val="00CC0087"/>
    <w:rsid w:val="00CD0085"/>
    <w:rsid w:val="00CE1BDC"/>
    <w:rsid w:val="00CF3E52"/>
    <w:rsid w:val="00D00043"/>
    <w:rsid w:val="00D003BE"/>
    <w:rsid w:val="00D03468"/>
    <w:rsid w:val="00D03E18"/>
    <w:rsid w:val="00D06094"/>
    <w:rsid w:val="00D06106"/>
    <w:rsid w:val="00D110CC"/>
    <w:rsid w:val="00D1310A"/>
    <w:rsid w:val="00D165B0"/>
    <w:rsid w:val="00D249EC"/>
    <w:rsid w:val="00D30CFE"/>
    <w:rsid w:val="00D314BC"/>
    <w:rsid w:val="00D319FC"/>
    <w:rsid w:val="00D3723A"/>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2AE7"/>
    <w:rsid w:val="00F6446E"/>
    <w:rsid w:val="00F64A92"/>
    <w:rsid w:val="00F64B57"/>
    <w:rsid w:val="00F657F3"/>
    <w:rsid w:val="00F71EED"/>
    <w:rsid w:val="00F80BF6"/>
    <w:rsid w:val="00F81802"/>
    <w:rsid w:val="00F82819"/>
    <w:rsid w:val="00F8452D"/>
    <w:rsid w:val="00F95BCB"/>
    <w:rsid w:val="00F96634"/>
    <w:rsid w:val="00F96A5C"/>
    <w:rsid w:val="00FA1FBC"/>
    <w:rsid w:val="00FA2C97"/>
    <w:rsid w:val="00FA2FC5"/>
    <w:rsid w:val="00FB15C3"/>
    <w:rsid w:val="00FB35BE"/>
    <w:rsid w:val="00FC17F5"/>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35F94"/>
    <w:rPr>
      <w:b/>
      <w:bCs/>
    </w:rPr>
  </w:style>
  <w:style w:type="paragraph" w:styleId="a4">
    <w:name w:val="annotation text"/>
    <w:basedOn w:val="a"/>
    <w:semiHidden/>
    <w:qFormat/>
    <w:rsid w:val="00C35F94"/>
    <w:pPr>
      <w:jc w:val="left"/>
    </w:pPr>
  </w:style>
  <w:style w:type="paragraph" w:styleId="a5">
    <w:name w:val="Balloon Text"/>
    <w:basedOn w:val="a"/>
    <w:semiHidden/>
    <w:qFormat/>
    <w:rsid w:val="00C35F94"/>
    <w:rPr>
      <w:sz w:val="18"/>
      <w:szCs w:val="18"/>
    </w:rPr>
  </w:style>
  <w:style w:type="paragraph" w:styleId="a6">
    <w:name w:val="footer"/>
    <w:basedOn w:val="a"/>
    <w:qFormat/>
    <w:rsid w:val="00C35F94"/>
    <w:pPr>
      <w:tabs>
        <w:tab w:val="center" w:pos="4153"/>
        <w:tab w:val="right" w:pos="8306"/>
      </w:tabs>
      <w:snapToGrid w:val="0"/>
      <w:jc w:val="left"/>
    </w:pPr>
    <w:rPr>
      <w:sz w:val="18"/>
      <w:szCs w:val="18"/>
    </w:rPr>
  </w:style>
  <w:style w:type="paragraph" w:styleId="a7">
    <w:name w:val="header"/>
    <w:basedOn w:val="a"/>
    <w:qFormat/>
    <w:rsid w:val="00C35F94"/>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C35F94"/>
    <w:rPr>
      <w:sz w:val="21"/>
      <w:szCs w:val="21"/>
    </w:rPr>
  </w:style>
  <w:style w:type="paragraph" w:customStyle="1" w:styleId="1">
    <w:name w:val="修订1"/>
    <w:uiPriority w:val="99"/>
    <w:semiHidden/>
    <w:qFormat/>
    <w:rsid w:val="00C35F94"/>
    <w:rPr>
      <w:kern w:val="2"/>
      <w:sz w:val="21"/>
      <w:szCs w:val="24"/>
    </w:rPr>
  </w:style>
  <w:style w:type="paragraph" w:styleId="a9">
    <w:name w:val="List Paragraph"/>
    <w:basedOn w:val="a"/>
    <w:uiPriority w:val="99"/>
    <w:unhideWhenUsed/>
    <w:rsid w:val="0054015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115</Words>
  <Characters>659</Characters>
  <Application>Microsoft Office Word</Application>
  <DocSecurity>0</DocSecurity>
  <Lines>5</Lines>
  <Paragraphs>1</Paragraphs>
  <ScaleCrop>false</ScaleCrop>
  <Company>zhlx</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USER-</cp:lastModifiedBy>
  <cp:revision>40</cp:revision>
  <cp:lastPrinted>2020-02-03T08:13:00Z</cp:lastPrinted>
  <dcterms:created xsi:type="dcterms:W3CDTF">2020-06-17T09:24:00Z</dcterms:created>
  <dcterms:modified xsi:type="dcterms:W3CDTF">2021-02-10T08:30:00Z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