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8"/>
      </w:pPr>
      <w:r>
        <w:t>窗体顶端</w:t>
      </w:r>
    </w:p>
    <w:p>
      <w:pPr>
        <w:pStyle w:val="20"/>
      </w:pPr>
      <w:r>
        <w:t>窗体顶端</w:t>
      </w:r>
    </w:p>
    <w:p>
      <w:pPr>
        <w:pStyle w:val="22"/>
      </w:pPr>
      <w:r>
        <w:t>窗体顶端</w:t>
      </w:r>
    </w:p>
    <w:p>
      <w:pPr>
        <w:pStyle w:val="22"/>
      </w:pPr>
      <w:r>
        <w:t>窗体顶端</w:t>
      </w:r>
    </w:p>
    <w:p>
      <w:pPr>
        <w:pStyle w:val="24"/>
      </w:pPr>
      <w:r>
        <w:t>窗体顶端</w:t>
      </w:r>
    </w:p>
    <w:p>
      <w:pPr>
        <w:pStyle w:val="26"/>
      </w:pPr>
      <w:r>
        <w:t>窗体顶端</w:t>
      </w:r>
    </w:p>
    <w:p>
      <w:pPr>
        <w:pStyle w:val="28"/>
      </w:pPr>
      <w:r>
        <w:t>窗体顶端</w:t>
      </w:r>
    </w:p>
    <w:p>
      <w:pPr>
        <w:pStyle w:val="32"/>
      </w:pPr>
      <w:r>
        <w:t>窗体顶端</w:t>
      </w:r>
    </w:p>
    <w:p>
      <w:pPr>
        <w:pStyle w:val="34"/>
      </w:pPr>
      <w:r>
        <w:t>窗体顶端</w:t>
      </w:r>
    </w:p>
    <w:p>
      <w:pPr>
        <w:pStyle w:val="36"/>
      </w:pPr>
      <w:r>
        <w:t>窗体顶端</w:t>
      </w:r>
    </w:p>
    <w:p>
      <w:pPr>
        <w:pStyle w:val="38"/>
      </w:pPr>
      <w:r>
        <w:t>窗体顶端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/>
        <w:jc w:val="center"/>
      </w:pPr>
      <w:r>
        <w:rPr>
          <w:rFonts w:hint="eastAsia" w:ascii="宋体" w:hAnsi="宋体" w:eastAsia="宋体" w:cs="宋体"/>
          <w:b/>
          <w:color w:val="323232"/>
          <w:kern w:val="0"/>
          <w:sz w:val="30"/>
          <w:szCs w:val="30"/>
          <w:u w:val="none"/>
          <w:bdr w:val="none" w:color="auto" w:sz="0" w:space="0"/>
          <w:shd w:val="clear" w:fill="FFFFFF"/>
          <w:lang w:val="en-US" w:eastAsia="zh-CN" w:bidi="ar"/>
        </w:rPr>
        <w:t>呈贡区文体活动中心PPP项目</w:t>
      </w:r>
      <w:r>
        <w:rPr>
          <w:rFonts w:hint="eastAsia" w:ascii="宋体" w:hAnsi="宋体" w:eastAsia="宋体" w:cs="宋体"/>
          <w:b/>
          <w:color w:val="323232"/>
          <w:kern w:val="0"/>
          <w:sz w:val="28"/>
          <w:szCs w:val="28"/>
          <w:u w:val="none"/>
          <w:shd w:val="clear" w:fill="FFFFFF"/>
          <w:lang w:val="en-US" w:eastAsia="zh-CN" w:bidi="ar"/>
        </w:rPr>
        <w:t>结果公示</w:t>
      </w:r>
    </w:p>
    <w:p>
      <w:pPr>
        <w:keepNext w:val="0"/>
        <w:keepLines w:val="0"/>
        <w:widowControl/>
        <w:suppressLineNumbers w:val="0"/>
        <w:pBdr>
          <w:top w:val="single" w:color="B6CCDF" w:sz="6" w:space="7"/>
          <w:left w:val="single" w:color="B6CCDF" w:sz="6" w:space="6"/>
          <w:bottom w:val="single" w:color="B6CCDF" w:sz="6" w:space="7"/>
          <w:right w:val="single" w:color="B6CCDF" w:sz="6" w:space="6"/>
        </w:pBdr>
        <w:shd w:val="clear" w:fill="FFFFFF"/>
        <w:spacing w:before="0" w:beforeAutospacing="0" w:after="0" w:afterAutospacing="0" w:line="300" w:lineRule="atLeast"/>
        <w:ind w:left="76" w:right="0"/>
        <w:jc w:val="left"/>
        <w:rPr>
          <w:rFonts w:hint="eastAsia" w:ascii="宋体" w:hAnsi="宋体" w:eastAsia="宋体" w:cs="宋体"/>
          <w:color w:val="323232"/>
          <w:sz w:val="22"/>
          <w:szCs w:val="22"/>
          <w:u w:val="none"/>
        </w:rPr>
      </w:pPr>
      <w:bookmarkStart w:id="0" w:name="_GoBack"/>
      <w:bookmarkEnd w:id="0"/>
      <w:r>
        <w:rPr>
          <w:rFonts w:hint="eastAsia" w:ascii="宋体" w:hAnsi="宋体" w:eastAsia="宋体" w:cs="宋体"/>
          <w:color w:val="323232"/>
          <w:kern w:val="0"/>
          <w:sz w:val="22"/>
          <w:szCs w:val="22"/>
          <w:u w:val="none"/>
          <w:shd w:val="clear" w:fill="FFFFFF"/>
          <w:lang w:val="en-US" w:eastAsia="zh-CN" w:bidi="ar"/>
        </w:rPr>
        <w:t xml:space="preserve">进场交易编号:JKMCG2020110138 </w:t>
      </w:r>
    </w:p>
    <w:p>
      <w:pPr>
        <w:keepNext w:val="0"/>
        <w:keepLines w:val="0"/>
        <w:widowControl/>
        <w:suppressLineNumbers w:val="0"/>
        <w:pBdr>
          <w:top w:val="single" w:color="B6CCDF" w:sz="6" w:space="7"/>
          <w:left w:val="single" w:color="B6CCDF" w:sz="6" w:space="6"/>
          <w:bottom w:val="single" w:color="B6CCDF" w:sz="6" w:space="7"/>
          <w:right w:val="single" w:color="B6CCDF" w:sz="6" w:space="6"/>
        </w:pBdr>
        <w:shd w:val="clear" w:fill="FFFFFF"/>
        <w:spacing w:before="0" w:beforeAutospacing="0" w:after="0" w:afterAutospacing="0" w:line="300" w:lineRule="atLeast"/>
        <w:ind w:left="0" w:right="750"/>
        <w:jc w:val="left"/>
        <w:rPr>
          <w:rFonts w:hint="eastAsia" w:ascii="宋体" w:hAnsi="宋体" w:eastAsia="宋体" w:cs="宋体"/>
          <w:color w:val="323232"/>
          <w:sz w:val="22"/>
          <w:szCs w:val="22"/>
          <w:u w:val="none"/>
        </w:rPr>
      </w:pPr>
      <w:r>
        <w:rPr>
          <w:rFonts w:hint="eastAsia" w:ascii="宋体" w:hAnsi="宋体" w:eastAsia="宋体" w:cs="宋体"/>
          <w:color w:val="323232"/>
          <w:kern w:val="0"/>
          <w:sz w:val="22"/>
          <w:szCs w:val="22"/>
          <w:u w:val="none"/>
          <w:bdr w:val="none" w:color="auto" w:sz="0" w:space="0"/>
          <w:shd w:val="clear" w:fill="FFFFFF"/>
          <w:lang w:val="en-US" w:eastAsia="zh-CN" w:bidi="ar"/>
        </w:rPr>
        <w:t xml:space="preserve">评审日期:2020-12-25 </w:t>
      </w:r>
    </w:p>
    <w:tbl>
      <w:tblPr>
        <w:tblW w:w="5000" w:type="pct"/>
        <w:tblInd w:w="0" w:type="dxa"/>
        <w:tblBorders>
          <w:top w:val="single" w:color="B6CCDF" w:sz="2" w:space="0"/>
          <w:left w:val="single" w:color="B6CCDF" w:sz="2" w:space="0"/>
          <w:bottom w:val="single" w:color="B6CCDF" w:sz="2" w:space="0"/>
          <w:right w:val="single" w:color="B6CCDF" w:sz="2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81"/>
        <w:gridCol w:w="1086"/>
        <w:gridCol w:w="3476"/>
        <w:gridCol w:w="1553"/>
      </w:tblGrid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采购人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昆明市呈贡区文化旅游局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0871-67473536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采购人地址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昆明市呈贡区双龙路80号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采购代理机构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中招国际招标有限公司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0871-68302998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采购代理机构地址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昆明市五华区滇缅大道金泰国际一期9栋5楼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采购代理机构是否在失信惩戒记录期内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ascii="微软雅黑" w:hAnsi="微软雅黑" w:eastAsia="微软雅黑" w:cs="微软雅黑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55" o:spt="201" type="#_x0000_t201" style="height:15.75pt;width:20.25pt;" o:ole="t" filled="f" o:preferrelative="t" stroked="f" coordsize="21600,21600">
                  <v:path/>
                  <v:fill on="f" focussize="0,0"/>
                  <v:stroke on="f"/>
                  <v:imagedata r:id="rId5" o:title=""/>
                  <o:lock v:ext="edit" aspectratio="t"/>
                  <w10:wrap type="none"/>
                  <w10:anchorlock/>
                </v:shape>
                <w:control r:id="rId4" w:name="Control 31" w:shapeid="_x0000_i1055"/>
              </w:objec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是     </w:t>
            </w:r>
            <w:r>
              <w:rPr>
                <w:rFonts w:hint="eastAsia" w:ascii="微软雅黑" w:hAnsi="微软雅黑" w:eastAsia="微软雅黑" w:cs="微软雅黑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56" o:spt="201" type="#_x0000_t201" style="height:15.75pt;width:20.25pt;" o:ole="t" filled="f" o:preferrelative="t" stroked="f" coordsize="21600,21600">
                  <v:path/>
                  <v:fill on="f" focussize="0,0"/>
                  <v:stroke on="f"/>
                  <v:imagedata r:id="rId5" o:title=""/>
                  <o:lock v:ext="edit" aspectratio="t"/>
                  <w10:wrap type="none"/>
                  <w10:anchorlock/>
                </v:shape>
                <w:control r:id="rId6" w:name="Control 32" w:shapeid="_x0000_i1056"/>
              </w:objec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否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采购项目名称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呈贡区文体活动中心PPP项目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行业主管部门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昆明市呈贡区财政局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项目编号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公示开始时间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2021-02-08 09:55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公示结束时间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2021-02-20 23:59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采购公告日期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合同履行日期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开标（谈判、询价）时间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2020年12月25日10时30分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开标地点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昆明市公共资源交易中心（昆明市呈贡区市级行政中心锦绣大街1号综合服务楼2楼）开标室4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hidden/>
        </w:trPr>
        <w:tc>
          <w:tcPr>
            <w:tcW w:w="2000" w:type="pct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75" w:lineRule="atLeast"/>
              <w:jc w:val="left"/>
              <w:textAlignment w:val="center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instrText xml:space="preserve"> HYPERLINK "https://www.kmggzy.com/Jyweb/javascript:__doPostBack('ctl00$Content$fdFilesZBWJ$lbOldFileName','');document.getElementById('__EVENTTARGET').value = '';document.getElementById('__EVENTARGUMENT').value = '';" </w:instrText>
            </w: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fldChar w:fldCharType="end"/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75" w:lineRule="atLeast"/>
              <w:jc w:val="left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57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7" w:name="Control 33" w:shapeid="_x0000_i1057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58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9" w:name="Control 34" w:shapeid="_x0000_i1058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59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11" o:title=""/>
                  <o:lock v:ext="edit" aspectratio="t"/>
                  <w10:wrap type="none"/>
                  <w10:anchorlock/>
                </v:shape>
                <w:control r:id="rId10" w:name="Control 35" w:shapeid="_x0000_i1059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60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2" w:name="Control 36" w:shapeid="_x0000_i1060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61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3" w:name="Control 37" w:shapeid="_x0000_i1061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62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4" w:name="Control 38" w:shapeid="_x0000_i1062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63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5" w:name="Control 39" w:shapeid="_x0000_i1063"/>
              </w:object>
            </w:r>
          </w:p>
          <w:tbl>
            <w:tblPr>
              <w:tblW w:w="5000" w:type="pct"/>
              <w:tblInd w:w="-2" w:type="dxa"/>
              <w:tblBorders>
                <w:top w:val="single" w:color="B6CCDF" w:sz="2" w:space="0"/>
                <w:left w:val="single" w:color="B6CCDF" w:sz="2" w:space="0"/>
                <w:bottom w:val="single" w:color="B6CCDF" w:sz="2" w:space="0"/>
                <w:right w:val="single" w:color="B6CCDF" w:sz="2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8380"/>
            </w:tblGrid>
            <w:tr>
              <w:tblPrEx>
                <w:tblBorders>
                  <w:top w:val="single" w:color="B6CCDF" w:sz="2" w:space="0"/>
                  <w:left w:val="single" w:color="B6CCDF" w:sz="2" w:space="0"/>
                  <w:bottom w:val="single" w:color="B6CCDF" w:sz="2" w:space="0"/>
                  <w:right w:val="single" w:color="B6CCDF" w:sz="2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tbl>
                  <w:tblPr>
                    <w:tblW w:w="5000" w:type="pct"/>
                    <w:tblInd w:w="6" w:type="dxa"/>
                    <w:tblBorders>
                      <w:top w:val="single" w:color="B6CCDF" w:sz="2" w:space="0"/>
                      <w:left w:val="single" w:color="B6CCDF" w:sz="2" w:space="0"/>
                      <w:bottom w:val="single" w:color="B6CCDF" w:sz="2" w:space="0"/>
                      <w:right w:val="single" w:color="B6CCDF" w:sz="2" w:space="0"/>
                      <w:insideH w:val="none" w:color="auto" w:sz="0" w:space="0"/>
                      <w:insideV w:val="none" w:color="auto" w:sz="0" w:space="0"/>
                    </w:tblBorders>
                    <w:shd w:val="clear"/>
                    <w:tblLayout w:type="autofit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464"/>
                    <w:gridCol w:w="1346"/>
                    <w:gridCol w:w="1683"/>
                    <w:gridCol w:w="111"/>
                    <w:gridCol w:w="396"/>
                    <w:gridCol w:w="396"/>
                    <w:gridCol w:w="396"/>
                    <w:gridCol w:w="871"/>
                    <w:gridCol w:w="871"/>
                    <w:gridCol w:w="396"/>
                    <w:gridCol w:w="206"/>
                    <w:gridCol w:w="22"/>
                    <w:gridCol w:w="206"/>
                  </w:tblGrid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shd w:val="clear"/>
                    </w:tblPrEx>
                    <w:tc>
                      <w:tcPr>
                        <w:tcW w:w="0" w:type="auto"/>
                        <w:gridSpan w:val="2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中标供应商</w:t>
                        </w:r>
                      </w:p>
                    </w:tc>
                    <w:tc>
                      <w:tcPr>
                        <w:tcW w:w="3000" w:type="dxa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企业代码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包号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地址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采购货物（服务）明细名称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数量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采购预算（元）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中标金额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失信惩戒情况</w:t>
                        </w:r>
                      </w:p>
                    </w:tc>
                  </w:tr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c>
                      <w:tcPr>
                        <w:tcW w:w="87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第一中标候选人</w:t>
                        </w:r>
                      </w:p>
                    </w:tc>
                    <w:tc>
                      <w:tcPr>
                        <w:tcW w:w="2250" w:type="dxa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中铁广州工程局集团有限公司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91440101MA59G0NT5Y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广州市南沙区南沙街港航一街1号进港大道南侧港航华庭1号办公综合楼2502房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呈贡区文体活动中心PPP项目的投资、融资、建设、运营一体化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988139600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988139600元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 xml:space="preserve">折现率：6.8% 建安工程费下浮率：2.1% 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无失信惩戒情况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B6CCDF" w:sz="2" w:space="0"/>
                          <w:left w:val="single" w:color="B6CCDF" w:sz="2" w:space="0"/>
                          <w:bottom w:val="single" w:color="B6CCDF" w:sz="2" w:space="0"/>
                          <w:right w:val="single" w:color="B6CCDF" w:sz="2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B6CCDF" w:sz="2" w:space="0"/>
                          <w:left w:val="single" w:color="B6CCDF" w:sz="2" w:space="0"/>
                          <w:bottom w:val="single" w:color="B6CCDF" w:sz="2" w:space="0"/>
                          <w:right w:val="single" w:color="B6CCDF" w:sz="2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</w:tr>
                </w:tbl>
                <w:p>
                  <w:pPr>
                    <w:rPr>
                      <w:vanish/>
                      <w:sz w:val="24"/>
                      <w:szCs w:val="24"/>
                    </w:rPr>
                  </w:pPr>
                </w:p>
                <w:tbl>
                  <w:tblPr>
                    <w:tblW w:w="5000" w:type="pct"/>
                    <w:tblInd w:w="6" w:type="dxa"/>
                    <w:tblBorders>
                      <w:top w:val="single" w:color="B6CCDF" w:sz="2" w:space="0"/>
                      <w:left w:val="single" w:color="B6CCDF" w:sz="2" w:space="0"/>
                      <w:bottom w:val="single" w:color="B6CCDF" w:sz="2" w:space="0"/>
                      <w:right w:val="single" w:color="B6CCDF" w:sz="2" w:space="0"/>
                      <w:insideH w:val="none" w:color="auto" w:sz="0" w:space="0"/>
                      <w:insideV w:val="none" w:color="auto" w:sz="0" w:space="0"/>
                    </w:tblBorders>
                    <w:shd w:val="clear"/>
                    <w:tblLayout w:type="autofit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464"/>
                    <w:gridCol w:w="6900"/>
                  </w:tblGrid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shd w:val="clear"/>
                    </w:tblPrEx>
                    <w:tc>
                      <w:tcPr>
                        <w:tcW w:w="87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采购文件</w:t>
                        </w:r>
                      </w:p>
                    </w:tc>
                    <w:tc>
                      <w:tcPr>
                        <w:tcW w:w="412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ind w:left="75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fldChar w:fldCharType="begin"/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instrText xml:space="preserve"> HYPERLINK "https://www.kmggzy.com/Jyweb/javascript:lbOldFileName_ClientClick('(招标)呈贡区文体活动中心ppp项目.ZCZBJ', 'b6d59918-c96c-4296-a1dc-f78297a89efc.ZCZBJ')" </w:instrText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fldChar w:fldCharType="separate"/>
                        </w:r>
                        <w:r>
                          <w:rPr>
                            <w:rStyle w:val="12"/>
                            <w:rFonts w:hint="eastAsia" w:ascii="宋体" w:hAnsi="宋体" w:eastAsia="宋体" w:cs="宋体"/>
                            <w:color w:val="000084"/>
                            <w:sz w:val="19"/>
                            <w:szCs w:val="19"/>
                            <w:u w:val="none"/>
                            <w:bdr w:val="none" w:color="auto" w:sz="0" w:space="0"/>
                          </w:rPr>
                          <w:t>(招标)呈贡区文体活动中心ppp项目.ZCZBJ</w:t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fldChar w:fldCharType="end"/>
                        </w:r>
                      </w:p>
                    </w:tc>
                  </w:tr>
                </w:tbl>
                <w:p>
                  <w:pPr>
                    <w:ind w:left="75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</w:p>
              </w:tc>
            </w:tr>
          </w:tbl>
          <w:p>
            <w:pPr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hidden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流标情况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经评审废标情况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tbl>
            <w:tblPr>
              <w:tblW w:w="5000" w:type="pct"/>
              <w:tblInd w:w="6" w:type="dxa"/>
              <w:tblBorders>
                <w:top w:val="single" w:color="B6CCDF" w:sz="2" w:space="0"/>
                <w:left w:val="single" w:color="B6CCDF" w:sz="2" w:space="0"/>
                <w:bottom w:val="single" w:color="B6CCDF" w:sz="2" w:space="0"/>
                <w:right w:val="single" w:color="B6CCDF" w:sz="2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064"/>
              <w:gridCol w:w="750"/>
              <w:gridCol w:w="2566"/>
            </w:tblGrid>
            <w:tr>
              <w:tblPrEx>
                <w:tblBorders>
                  <w:top w:val="single" w:color="B6CCDF" w:sz="2" w:space="0"/>
                  <w:left w:val="single" w:color="B6CCDF" w:sz="2" w:space="0"/>
                  <w:bottom w:val="single" w:color="B6CCDF" w:sz="2" w:space="0"/>
                  <w:right w:val="single" w:color="B6CCDF" w:sz="2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被废标供应商名称</w:t>
                  </w:r>
                </w:p>
              </w:tc>
              <w:tc>
                <w:tcPr>
                  <w:tcW w:w="750" w:type="dxa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包号</w:t>
                  </w:r>
                </w:p>
              </w:tc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废标原因</w:t>
                  </w:r>
                </w:p>
              </w:tc>
            </w:tr>
          </w:tbl>
          <w:p>
            <w:pPr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本项目没有投标人被废标！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评标委员会成员名单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胡玫、黄明波（招标人代表）、任昆宜（招标人代表）、宋笛、杨鹰、张小虎、张玉萍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采购人审核意见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同意发布 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75" w:lineRule="atLeast"/>
              <w:ind w:right="750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审核人：王毅强</w:t>
            </w:r>
          </w:p>
        </w:tc>
      </w:tr>
    </w:tbl>
    <w:p>
      <w:pPr>
        <w:pStyle w:val="39"/>
      </w:pPr>
      <w:r>
        <w:t>窗体底端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Times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BBD7BEE"/>
    <w:rsid w:val="34121B2E"/>
    <w:rsid w:val="4383409C"/>
    <w:rsid w:val="4FBF251A"/>
    <w:rsid w:val="542B25EC"/>
    <w:rsid w:val="54581858"/>
    <w:rsid w:val="68FB6375"/>
    <w:rsid w:val="6CEB3DF7"/>
    <w:rsid w:val="6E44436A"/>
    <w:rsid w:val="730321D2"/>
    <w:rsid w:val="787E1385"/>
    <w:rsid w:val="7DE02583"/>
    <w:rsid w:val="7F520EAB"/>
    <w:rsid w:val="7FFA2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"/>
    <w:lsdException w:unhideWhenUsed="0" w:uiPriority="0" w:semiHidden="0" w:name="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FollowedHyperlink"/>
    <w:basedOn w:val="8"/>
    <w:qFormat/>
    <w:uiPriority w:val="0"/>
    <w:rPr>
      <w:color w:val="000084"/>
      <w:u w:val="none"/>
    </w:rPr>
  </w:style>
  <w:style w:type="character" w:styleId="11">
    <w:name w:val="HTML Definition"/>
    <w:basedOn w:val="8"/>
    <w:qFormat/>
    <w:uiPriority w:val="0"/>
    <w:rPr>
      <w:i/>
    </w:rPr>
  </w:style>
  <w:style w:type="character" w:styleId="12">
    <w:name w:val="Hyperlink"/>
    <w:basedOn w:val="8"/>
    <w:qFormat/>
    <w:uiPriority w:val="0"/>
    <w:rPr>
      <w:color w:val="000084"/>
      <w:u w:val="none"/>
    </w:rPr>
  </w:style>
  <w:style w:type="character" w:styleId="13">
    <w:name w:val="HTML Code"/>
    <w:basedOn w:val="8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14">
    <w:name w:val="HTML Keyboard"/>
    <w:basedOn w:val="8"/>
    <w:qFormat/>
    <w:uiPriority w:val="0"/>
    <w:rPr>
      <w:rFonts w:ascii="monospace" w:hAnsi="monospace" w:eastAsia="monospace" w:cs="monospace"/>
      <w:sz w:val="21"/>
      <w:szCs w:val="21"/>
    </w:rPr>
  </w:style>
  <w:style w:type="character" w:styleId="15">
    <w:name w:val="HTML Sample"/>
    <w:basedOn w:val="8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16">
    <w:name w:val="more"/>
    <w:basedOn w:val="8"/>
    <w:qFormat/>
    <w:uiPriority w:val="0"/>
  </w:style>
  <w:style w:type="paragraph" w:customStyle="1" w:styleId="17">
    <w:name w:val="xxtitle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jc w:val="center"/>
    </w:pPr>
    <w:rPr>
      <w:rFonts w:hint="eastAsia" w:ascii="宋体" w:hAnsi="宋体" w:eastAsia="宋体" w:cs="宋体"/>
      <w:b/>
      <w:kern w:val="0"/>
      <w:sz w:val="28"/>
      <w:szCs w:val="28"/>
      <w:lang w:val="en-US" w:eastAsia="zh-CN" w:bidi="ar"/>
    </w:rPr>
  </w:style>
  <w:style w:type="paragraph" w:customStyle="1" w:styleId="18">
    <w:name w:val="_Style 1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9">
    <w:name w:val="_Style 1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0">
    <w:name w:val="_Style 1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1">
    <w:name w:val="_Style 1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2">
    <w:name w:val="_Style 1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3">
    <w:name w:val="_Style 1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">
    <w:name w:val="_Style 1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5">
    <w:name w:val="_Style 1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6">
    <w:name w:val="_Style 2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7">
    <w:name w:val="_Style 2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8">
    <w:name w:val="_Style 2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9">
    <w:name w:val="_Style 2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0">
    <w:name w:val="_Style 2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1">
    <w:name w:val="_Style 2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2">
    <w:name w:val="_Style 2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3">
    <w:name w:val="_Style 27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4">
    <w:name w:val="_Style 3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5">
    <w:name w:val="_Style 34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6">
    <w:name w:val="_Style 35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7">
    <w:name w:val="_Style 3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styleId="38">
    <w:name w:val="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styleId="39">
    <w:name w:val="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ontrol" Target="activeX/activeX4.xml"/><Relationship Id="rId8" Type="http://schemas.openxmlformats.org/officeDocument/2006/relationships/image" Target="media/image2.wmf"/><Relationship Id="rId7" Type="http://schemas.openxmlformats.org/officeDocument/2006/relationships/control" Target="activeX/activeX3.xml"/><Relationship Id="rId6" Type="http://schemas.openxmlformats.org/officeDocument/2006/relationships/control" Target="activeX/activeX2.xml"/><Relationship Id="rId5" Type="http://schemas.openxmlformats.org/officeDocument/2006/relationships/image" Target="media/image1.wmf"/><Relationship Id="rId4" Type="http://schemas.openxmlformats.org/officeDocument/2006/relationships/control" Target="activeX/activeX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control" Target="activeX/activeX9.xml"/><Relationship Id="rId14" Type="http://schemas.openxmlformats.org/officeDocument/2006/relationships/control" Target="activeX/activeX8.xml"/><Relationship Id="rId13" Type="http://schemas.openxmlformats.org/officeDocument/2006/relationships/control" Target="activeX/activeX7.xml"/><Relationship Id="rId12" Type="http://schemas.openxmlformats.org/officeDocument/2006/relationships/control" Target="activeX/activeX6.xml"/><Relationship Id="rId11" Type="http://schemas.openxmlformats.org/officeDocument/2006/relationships/image" Target="media/image3.wmf"/><Relationship Id="rId10" Type="http://schemas.openxmlformats.org/officeDocument/2006/relationships/control" Target="activeX/activeX5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2021-02-09T07:53:02Z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