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黑体" w:hAnsi="黑体" w:eastAsia="黑体" w:cs="黑体"/>
          <w:sz w:val="30"/>
          <w:szCs w:val="30"/>
          <w:lang w:val="en-US" w:eastAsia="zh-CN"/>
        </w:rPr>
      </w:pPr>
      <w:bookmarkStart w:id="0" w:name="_GoBack"/>
      <w:bookmarkEnd w:id="0"/>
      <w:r>
        <w:rPr>
          <w:rFonts w:hint="eastAsia" w:ascii="黑体" w:hAnsi="黑体" w:eastAsia="黑体" w:cs="黑体"/>
          <w:sz w:val="30"/>
          <w:szCs w:val="30"/>
          <w:lang w:eastAsia="zh-CN"/>
        </w:rPr>
        <w:t>附件</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sz w:val="36"/>
          <w:szCs w:val="36"/>
          <w:lang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代理记账机构检查手册</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仿宋_GB2312" w:hAnsi="仿宋_GB2312" w:eastAsia="仿宋_GB2312" w:cs="仿宋_GB2312"/>
          <w:sz w:val="30"/>
          <w:szCs w:val="30"/>
          <w:lang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黑体" w:hAnsi="黑体" w:eastAsia="黑体" w:cs="黑体"/>
          <w:b w:val="0"/>
          <w:bCs w:val="0"/>
          <w:sz w:val="30"/>
          <w:szCs w:val="30"/>
          <w:lang w:eastAsia="zh-CN"/>
        </w:rPr>
      </w:pPr>
      <w:r>
        <w:rPr>
          <w:rFonts w:hint="eastAsia" w:ascii="黑体" w:hAnsi="黑体" w:eastAsia="黑体" w:cs="黑体"/>
          <w:b w:val="0"/>
          <w:bCs w:val="0"/>
          <w:sz w:val="30"/>
          <w:szCs w:val="30"/>
          <w:lang w:eastAsia="zh-CN"/>
        </w:rPr>
        <w:t>一、代理记账机构基本情况检查</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lang w:eastAsia="zh-CN"/>
        </w:rPr>
        <w:t>（一）</w:t>
      </w:r>
      <w:r>
        <w:rPr>
          <w:rFonts w:hint="eastAsia" w:ascii="仿宋_GB2312" w:eastAsia="仿宋_GB2312"/>
          <w:sz w:val="30"/>
          <w:szCs w:val="30"/>
        </w:rPr>
        <w:t>申请代理记账资格的机构是否具备以下条件：</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lang w:val="en-US" w:eastAsia="zh-CN"/>
        </w:rPr>
        <w:t>1.</w:t>
      </w:r>
      <w:r>
        <w:rPr>
          <w:rFonts w:hint="eastAsia" w:ascii="仿宋_GB2312" w:eastAsia="仿宋_GB2312"/>
          <w:sz w:val="30"/>
          <w:szCs w:val="30"/>
        </w:rPr>
        <w:t>专职从业人员不少于3名；</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lang w:val="en-US" w:eastAsia="zh-CN"/>
        </w:rPr>
        <w:t>2.</w:t>
      </w:r>
      <w:r>
        <w:rPr>
          <w:rFonts w:hint="eastAsia" w:ascii="仿宋_GB2312" w:eastAsia="仿宋_GB2312"/>
          <w:sz w:val="30"/>
          <w:szCs w:val="30"/>
        </w:rPr>
        <w:t>主管代理记账业务的负责人具有会计师以上专业技术职务资格或者从事会计工作不少于三年，且为专职从业人员；</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lang w:val="en-US" w:eastAsia="zh-CN"/>
        </w:rPr>
        <w:t>3.</w:t>
      </w:r>
      <w:r>
        <w:rPr>
          <w:rFonts w:hint="eastAsia" w:ascii="仿宋_GB2312" w:eastAsia="仿宋_GB2312"/>
          <w:sz w:val="30"/>
          <w:szCs w:val="30"/>
        </w:rPr>
        <w:t>有健全的代理记账业务内部规范。</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lang w:eastAsia="zh-CN"/>
        </w:rPr>
        <w:t>（二）</w:t>
      </w:r>
      <w:r>
        <w:rPr>
          <w:rFonts w:hint="eastAsia" w:ascii="仿宋_GB2312" w:eastAsia="仿宋_GB2312"/>
          <w:sz w:val="30"/>
          <w:szCs w:val="30"/>
        </w:rPr>
        <w:t>代理记账机构变更名称的，是否向审批机关领取新的代理记账许可证书，并同时交回原代理记账许可证书；</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lang w:eastAsia="zh-CN"/>
        </w:rPr>
        <w:t>（三）</w:t>
      </w:r>
      <w:r>
        <w:rPr>
          <w:rFonts w:hint="eastAsia" w:ascii="仿宋_GB2312" w:eastAsia="仿宋_GB2312"/>
          <w:sz w:val="30"/>
          <w:szCs w:val="30"/>
        </w:rPr>
        <w:t>代理记账机构设立分支机构的，分支机构是否及时向其所在地的审批机关办理备案登记；</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lang w:eastAsia="zh-CN"/>
        </w:rPr>
        <w:t>（四）</w:t>
      </w:r>
      <w:r>
        <w:rPr>
          <w:rFonts w:hint="eastAsia" w:ascii="仿宋_GB2312" w:eastAsia="仿宋_GB2312"/>
          <w:sz w:val="30"/>
          <w:szCs w:val="30"/>
        </w:rPr>
        <w:t>分支机构名称、主管代理记账业务的负责人发生变更的，分支机构是否按照要求向其所在地的审批机关办理变更登记；</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lang w:eastAsia="zh-CN"/>
        </w:rPr>
        <w:t>（五）</w:t>
      </w:r>
      <w:r>
        <w:rPr>
          <w:rFonts w:hint="eastAsia" w:ascii="仿宋_GB2312" w:eastAsia="仿宋_GB2312"/>
          <w:sz w:val="30"/>
          <w:szCs w:val="30"/>
        </w:rPr>
        <w:t>代理记账机构是否在人事、财务、业务、技术标准、信息管理等方面对其设立的分支机构进行实质性的统一管理，并对分支机构的业务活动、执业质量和债务承担法律责任；</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_GB2312" w:eastAsia="仿宋_GB2312"/>
          <w:sz w:val="30"/>
          <w:szCs w:val="30"/>
          <w:lang w:eastAsia="zh-CN"/>
        </w:rPr>
      </w:pPr>
      <w:r>
        <w:rPr>
          <w:rFonts w:hint="eastAsia" w:ascii="仿宋_GB2312" w:eastAsia="仿宋_GB2312"/>
          <w:sz w:val="30"/>
          <w:szCs w:val="30"/>
          <w:lang w:eastAsia="zh-CN"/>
        </w:rPr>
        <w:t>（六）委托人委托代理记账机构代理记账，是否在相互协商的基础上，订立书面委托合同。</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lang w:eastAsia="zh-CN"/>
        </w:rPr>
        <w:t>（七）</w:t>
      </w:r>
      <w:r>
        <w:rPr>
          <w:rFonts w:hint="eastAsia" w:ascii="仿宋_GB2312" w:eastAsia="仿宋_GB2312"/>
          <w:sz w:val="30"/>
          <w:szCs w:val="30"/>
        </w:rPr>
        <w:t>委托合同除应具备法律规定的基本条款外，是否明确下列内容：</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lang w:val="en-US" w:eastAsia="zh-CN"/>
        </w:rPr>
        <w:t>1.</w:t>
      </w:r>
      <w:r>
        <w:rPr>
          <w:rFonts w:hint="eastAsia" w:ascii="仿宋_GB2312" w:eastAsia="仿宋_GB2312"/>
          <w:sz w:val="30"/>
          <w:szCs w:val="30"/>
        </w:rPr>
        <w:t>双方对会计资料真实性、完整性各自应当承担的责任；</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lang w:val="en-US" w:eastAsia="zh-CN"/>
        </w:rPr>
        <w:t>2.</w:t>
      </w:r>
      <w:r>
        <w:rPr>
          <w:rFonts w:hint="eastAsia" w:ascii="仿宋_GB2312" w:eastAsia="仿宋_GB2312"/>
          <w:sz w:val="30"/>
          <w:szCs w:val="30"/>
        </w:rPr>
        <w:t>会计资料传递程序和签收手续；</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lang w:val="en-US" w:eastAsia="zh-CN"/>
        </w:rPr>
        <w:t>3.</w:t>
      </w:r>
      <w:r>
        <w:rPr>
          <w:rFonts w:hint="eastAsia" w:ascii="仿宋_GB2312" w:eastAsia="仿宋_GB2312"/>
          <w:sz w:val="30"/>
          <w:szCs w:val="30"/>
        </w:rPr>
        <w:t>编制和提供财务会计报告的要求；</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lang w:val="en-US" w:eastAsia="zh-CN"/>
        </w:rPr>
        <w:t>4.</w:t>
      </w:r>
      <w:r>
        <w:rPr>
          <w:rFonts w:hint="eastAsia" w:ascii="仿宋_GB2312" w:eastAsia="仿宋_GB2312"/>
          <w:sz w:val="30"/>
          <w:szCs w:val="30"/>
        </w:rPr>
        <w:t>会计档案的保管要求及相应的责任；</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lang w:val="en-US" w:eastAsia="zh-CN"/>
        </w:rPr>
        <w:t>5.</w:t>
      </w:r>
      <w:r>
        <w:rPr>
          <w:rFonts w:hint="eastAsia" w:ascii="仿宋_GB2312" w:eastAsia="仿宋_GB2312"/>
          <w:sz w:val="30"/>
          <w:szCs w:val="30"/>
        </w:rPr>
        <w:t>终止委托合同应当办理的会计业务交接事宜。</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lang w:eastAsia="zh-CN"/>
        </w:rPr>
        <w:t>（八）</w:t>
      </w:r>
      <w:r>
        <w:rPr>
          <w:rFonts w:hint="eastAsia" w:ascii="仿宋_GB2312" w:eastAsia="仿宋_GB2312"/>
          <w:sz w:val="30"/>
          <w:szCs w:val="30"/>
        </w:rPr>
        <w:t>代理记账机构是否于每年4月30日之前，向审批机关报送下列材料：</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lang w:val="en-US" w:eastAsia="zh-CN"/>
        </w:rPr>
        <w:t>1.</w:t>
      </w:r>
      <w:r>
        <w:rPr>
          <w:rFonts w:hint="eastAsia" w:ascii="仿宋_GB2312" w:eastAsia="仿宋_GB2312"/>
          <w:sz w:val="30"/>
          <w:szCs w:val="30"/>
        </w:rPr>
        <w:t>代理记账机构基本情况表（附表）；</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lang w:val="en-US" w:eastAsia="zh-CN"/>
        </w:rPr>
        <w:t>2.</w:t>
      </w:r>
      <w:r>
        <w:rPr>
          <w:rFonts w:hint="eastAsia" w:ascii="仿宋_GB2312" w:eastAsia="仿宋_GB2312"/>
          <w:sz w:val="30"/>
          <w:szCs w:val="30"/>
        </w:rPr>
        <w:t>专职从业人员变动情况。</w:t>
      </w:r>
    </w:p>
    <w:p>
      <w:pPr>
        <w:keepNext w:val="0"/>
        <w:keepLines w:val="0"/>
        <w:pageBreakBefore w:val="0"/>
        <w:widowControl w:val="0"/>
        <w:kinsoku/>
        <w:wordWrap/>
        <w:overflowPunct/>
        <w:topLinePunct w:val="0"/>
        <w:autoSpaceDE/>
        <w:autoSpaceDN/>
        <w:bidi w:val="0"/>
        <w:adjustRightInd/>
        <w:snapToGrid/>
        <w:spacing w:line="590" w:lineRule="exact"/>
        <w:ind w:firstLine="300" w:firstLineChars="100"/>
        <w:textAlignment w:val="auto"/>
        <w:rPr>
          <w:rFonts w:hint="eastAsia" w:ascii="仿宋_GB2312" w:eastAsia="仿宋_GB2312"/>
          <w:sz w:val="30"/>
          <w:szCs w:val="30"/>
        </w:rPr>
      </w:pPr>
      <w:r>
        <w:rPr>
          <w:rFonts w:hint="eastAsia" w:ascii="仿宋_GB2312" w:eastAsia="仿宋_GB2312"/>
          <w:sz w:val="30"/>
          <w:szCs w:val="30"/>
          <w:lang w:eastAsia="zh-CN"/>
        </w:rPr>
        <w:t>（九）</w:t>
      </w:r>
      <w:r>
        <w:rPr>
          <w:rFonts w:hint="eastAsia" w:ascii="仿宋_GB2312" w:eastAsia="仿宋_GB2312"/>
          <w:sz w:val="30"/>
          <w:szCs w:val="30"/>
        </w:rPr>
        <w:t>代理记账机构设立分支机构的，分支机构是否于每年4月30日之前向其所在地的审批机关报送下列材料：</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lang w:val="en-US" w:eastAsia="zh-CN"/>
        </w:rPr>
        <w:t>1.</w:t>
      </w:r>
      <w:r>
        <w:rPr>
          <w:rFonts w:hint="eastAsia" w:ascii="仿宋_GB2312" w:eastAsia="仿宋_GB2312"/>
          <w:sz w:val="30"/>
          <w:szCs w:val="30"/>
        </w:rPr>
        <w:t>代理记账机构基本情况表（附表）；</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lang w:val="en-US" w:eastAsia="zh-CN"/>
        </w:rPr>
        <w:t>2.</w:t>
      </w:r>
      <w:r>
        <w:rPr>
          <w:rFonts w:hint="eastAsia" w:ascii="仿宋_GB2312" w:eastAsia="仿宋_GB2312"/>
          <w:sz w:val="30"/>
          <w:szCs w:val="30"/>
        </w:rPr>
        <w:t>专职从业人员变动情况。</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黑体" w:hAnsi="黑体" w:eastAsia="黑体" w:cs="黑体"/>
          <w:b/>
          <w:bCs/>
          <w:sz w:val="30"/>
          <w:szCs w:val="30"/>
          <w:lang w:eastAsia="zh-CN"/>
        </w:rPr>
      </w:pPr>
      <w:r>
        <w:rPr>
          <w:rFonts w:hint="eastAsia" w:ascii="黑体" w:hAnsi="黑体" w:eastAsia="黑体" w:cs="黑体"/>
          <w:b w:val="0"/>
          <w:bCs w:val="0"/>
          <w:sz w:val="30"/>
          <w:szCs w:val="30"/>
          <w:lang w:eastAsia="zh-CN"/>
        </w:rPr>
        <w:t>二、代理记账机构收入等情况检查内容</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_GB2312" w:eastAsia="仿宋_GB2312"/>
          <w:sz w:val="30"/>
          <w:szCs w:val="30"/>
          <w:lang w:eastAsia="zh-CN"/>
        </w:rPr>
      </w:pPr>
      <w:r>
        <w:rPr>
          <w:rFonts w:hint="eastAsia" w:ascii="仿宋_GB2312" w:eastAsia="仿宋_GB2312"/>
          <w:sz w:val="30"/>
          <w:szCs w:val="30"/>
          <w:lang w:eastAsia="zh-CN"/>
        </w:rPr>
        <w:t>（一）上年度业务总收入（万元）；</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仿宋_GB2312" w:eastAsia="仿宋_GB2312"/>
          <w:sz w:val="30"/>
          <w:szCs w:val="30"/>
          <w:lang w:val="en-US" w:eastAsia="zh-CN"/>
        </w:rPr>
      </w:pPr>
      <w:r>
        <w:rPr>
          <w:rFonts w:hint="eastAsia" w:ascii="仿宋_GB2312" w:eastAsia="仿宋_GB2312"/>
          <w:sz w:val="30"/>
          <w:szCs w:val="30"/>
          <w:lang w:val="en-US" w:eastAsia="zh-CN"/>
        </w:rPr>
        <w:t>（二）代理记账业务收入（万元）；</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（三）代理客户数量；</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（四）专职从业人员数量；</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仿宋_GB2312" w:eastAsia="仿宋_GB2312"/>
          <w:sz w:val="30"/>
          <w:szCs w:val="30"/>
          <w:lang w:val="en-US" w:eastAsia="zh-CN"/>
        </w:rPr>
      </w:pPr>
      <w:r>
        <w:rPr>
          <w:rFonts w:hint="eastAsia" w:ascii="仿宋_GB2312" w:eastAsia="仿宋_GB2312"/>
          <w:sz w:val="30"/>
          <w:szCs w:val="30"/>
          <w:lang w:val="en-US" w:eastAsia="zh-CN"/>
        </w:rPr>
        <w:t>（五）从事会计工作的人员是否参加继续教育。</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黑体" w:hAnsi="黑体" w:eastAsia="黑体" w:cs="黑体"/>
          <w:sz w:val="30"/>
          <w:szCs w:val="30"/>
          <w:lang w:eastAsia="zh-CN"/>
        </w:rPr>
      </w:pPr>
      <w:r>
        <w:rPr>
          <w:rFonts w:hint="eastAsia" w:ascii="黑体" w:hAnsi="黑体" w:eastAsia="黑体" w:cs="黑体"/>
          <w:b w:val="0"/>
          <w:bCs w:val="0"/>
          <w:sz w:val="30"/>
          <w:szCs w:val="30"/>
          <w:lang w:eastAsia="zh-CN"/>
        </w:rPr>
        <w:t>三、代理记账机构从事的代理记账业务的检查内容</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lang w:eastAsia="zh-CN"/>
        </w:rPr>
        <w:t>（一）</w:t>
      </w:r>
      <w:r>
        <w:rPr>
          <w:rFonts w:hint="eastAsia" w:ascii="仿宋_GB2312" w:eastAsia="仿宋_GB2312"/>
          <w:sz w:val="30"/>
          <w:szCs w:val="30"/>
        </w:rPr>
        <w:t>是否依法设置会计帐簿；</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_GB2312" w:eastAsia="仿宋_GB2312"/>
          <w:sz w:val="30"/>
          <w:szCs w:val="30"/>
        </w:rPr>
      </w:pPr>
      <w:r>
        <w:rPr>
          <w:rFonts w:hint="eastAsia" w:ascii="仿宋" w:hAnsi="仿宋" w:eastAsia="仿宋" w:cs="仿宋"/>
          <w:sz w:val="30"/>
          <w:szCs w:val="30"/>
          <w:lang w:eastAsia="zh-CN"/>
        </w:rPr>
        <w:t>（二）</w:t>
      </w:r>
      <w:r>
        <w:rPr>
          <w:rFonts w:hint="eastAsia" w:ascii="仿宋_GB2312" w:eastAsia="仿宋_GB2312"/>
          <w:sz w:val="30"/>
          <w:szCs w:val="30"/>
        </w:rPr>
        <w:t>会计凭证、会计帐簿、财务会计报告和其他会计资料是否完整；</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_GB2312" w:eastAsia="仿宋_GB2312"/>
          <w:sz w:val="30"/>
          <w:szCs w:val="30"/>
          <w:lang w:eastAsia="zh-CN"/>
        </w:rPr>
      </w:pPr>
      <w:r>
        <w:rPr>
          <w:rFonts w:hint="eastAsia" w:ascii="仿宋_GB2312" w:eastAsia="仿宋_GB2312"/>
          <w:sz w:val="30"/>
          <w:szCs w:val="30"/>
          <w:lang w:eastAsia="zh-CN"/>
        </w:rPr>
        <w:t>（三）</w:t>
      </w:r>
      <w:r>
        <w:rPr>
          <w:rFonts w:hint="eastAsia" w:ascii="仿宋_GB2312" w:eastAsia="仿宋_GB2312"/>
          <w:sz w:val="30"/>
          <w:szCs w:val="30"/>
        </w:rPr>
        <w:t>会计核算是否符合《会计法》和国家统一的会计制度的规定；</w:t>
      </w:r>
      <w:r>
        <w:rPr>
          <w:rFonts w:hint="eastAsia" w:ascii="仿宋_GB2312" w:eastAsia="仿宋_GB2312"/>
          <w:sz w:val="30"/>
          <w:szCs w:val="30"/>
          <w:lang w:eastAsia="zh-CN"/>
        </w:rPr>
        <w:t>是否建立会计凭证的交叉复核制度并得到贯彻执行；</w:t>
      </w:r>
    </w:p>
    <w:p>
      <w:pPr>
        <w:ind w:firstLine="600" w:firstLineChars="200"/>
        <w:jc w:val="both"/>
        <w:rPr>
          <w:rFonts w:hint="eastAsia" w:ascii="仿宋" w:hAnsi="仿宋" w:eastAsia="仿宋" w:cs="仿宋"/>
          <w:sz w:val="32"/>
          <w:szCs w:val="32"/>
        </w:rPr>
      </w:pPr>
      <w:r>
        <w:rPr>
          <w:rFonts w:hint="eastAsia" w:ascii="仿宋_GB2312" w:eastAsia="仿宋_GB2312"/>
          <w:sz w:val="30"/>
          <w:szCs w:val="30"/>
          <w:lang w:val="en-US" w:eastAsia="zh-CN"/>
        </w:rPr>
        <w:t>（四）是否建立完善的会计档案保管制度，将代理客户财务资料分类、完整存放。</w:t>
      </w:r>
    </w:p>
    <w:p>
      <w:pPr>
        <w:ind w:firstLine="640" w:firstLineChars="200"/>
        <w:jc w:val="both"/>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CAA"/>
    <w:rsid w:val="002515BC"/>
    <w:rsid w:val="006510D9"/>
    <w:rsid w:val="00696642"/>
    <w:rsid w:val="007C4CAA"/>
    <w:rsid w:val="00A767B0"/>
    <w:rsid w:val="00B6565B"/>
    <w:rsid w:val="00C40A3F"/>
    <w:rsid w:val="03EF1B77"/>
    <w:rsid w:val="0FEF432B"/>
    <w:rsid w:val="1648006D"/>
    <w:rsid w:val="2C277ED1"/>
    <w:rsid w:val="2F910EC1"/>
    <w:rsid w:val="3D885CAD"/>
    <w:rsid w:val="4944440D"/>
    <w:rsid w:val="5F2C12F9"/>
    <w:rsid w:val="6A7C5CDC"/>
    <w:rsid w:val="6DA76C92"/>
    <w:rsid w:val="6DB475BA"/>
    <w:rsid w:val="701A559C"/>
    <w:rsid w:val="7CED34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187</Words>
  <Characters>1071</Characters>
  <Lines>8</Lines>
  <Paragraphs>2</Paragraphs>
  <TotalTime>4</TotalTime>
  <ScaleCrop>false</ScaleCrop>
  <LinksUpToDate>false</LinksUpToDate>
  <CharactersWithSpaces>1256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2020-09-01T01:45:00Z</dcterms:created>
  <dc:creator>lenovo</dc:creator>
  <cp:lastModifiedBy>dell</cp:lastModifiedBy>
  <cp:lastPrinted>2020-09-01T02:13:00Z</cp:lastPrinted>
  <dcterms:modified xsi:type="dcterms:W3CDTF">2020-11-23T06:46:08Z</dcterms:modified>
  <dc:title>_x000B_昆明市呈贡区财政局 昆明市呈贡区市场监督管理局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