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2.bin" ContentType="application/vnd.ms-office.activeX"/>
  <Override PartName="/word/activeX/activeX2.xml" ContentType="application/vnd.ms-office.activeX+xml"/>
  <Override PartName="/word/activeX/activeX3.bin" ContentType="application/vnd.ms-office.activeX"/>
  <Override PartName="/word/activeX/activeX3.xml" ContentType="application/vnd.ms-office.activeX+xml"/>
  <Override PartName="/word/activeX/activeX4.bin" ContentType="application/vnd.ms-office.activeX"/>
  <Override PartName="/word/activeX/activeX4.xml" ContentType="application/vnd.ms-office.activeX+xml"/>
  <Override PartName="/word/activeX/activeX5.bin" ContentType="application/vnd.ms-office.activeX"/>
  <Override PartName="/word/activeX/activeX5.xml" ContentType="application/vnd.ms-office.activeX+xml"/>
  <Override PartName="/word/activeX/activeX6.bin" ContentType="application/vnd.ms-office.activeX"/>
  <Override PartName="/word/activeX/activeX6.xml" ContentType="application/vnd.ms-office.activeX+xml"/>
  <Override PartName="/word/activeX/activeX7.bin" ContentType="application/vnd.ms-office.activeX"/>
  <Override PartName="/word/activeX/activeX7.xml" ContentType="application/vnd.ms-office.activeX+xml"/>
  <Override PartName="/word/activeX/activeX8.bin" ContentType="application/vnd.ms-office.activeX"/>
  <Override PartName="/word/activeX/activeX8.xml" ContentType="application/vnd.ms-office.activeX+xml"/>
  <Override PartName="/word/activeX/activeX9.bin" ContentType="application/vnd.ms-office.activeX"/>
  <Override PartName="/word/activeX/activeX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pPr>
      <w:r>
        <w:t>窗体顶端</w:t>
      </w:r>
    </w:p>
    <w:p>
      <w:pPr>
        <w:pStyle w:val="13"/>
      </w:pPr>
      <w:r>
        <w:t>窗体顶端</w:t>
      </w:r>
    </w:p>
    <w:p>
      <w:pPr>
        <w:pStyle w:val="13"/>
      </w:pPr>
      <w:r>
        <w:t>窗体顶端</w:t>
      </w:r>
    </w:p>
    <w:p>
      <w:pPr>
        <w:pStyle w:val="15"/>
      </w:pPr>
      <w:r>
        <w:t>窗体顶端</w:t>
      </w:r>
    </w:p>
    <w:p>
      <w:pPr>
        <w:pStyle w:val="17"/>
      </w:pPr>
      <w:r>
        <w:t>窗体顶端</w:t>
      </w:r>
    </w:p>
    <w:p>
      <w:pPr>
        <w:pStyle w:val="19"/>
      </w:pPr>
      <w:r>
        <w:t>窗体顶端</w:t>
      </w:r>
    </w:p>
    <w:p>
      <w:pPr>
        <w:pStyle w:val="19"/>
      </w:pPr>
      <w:r>
        <w:t>窗体顶端</w:t>
      </w:r>
    </w:p>
    <w:p>
      <w:pPr>
        <w:pStyle w:val="21"/>
      </w:pPr>
      <w:r>
        <w:t>窗体顶端</w:t>
      </w:r>
    </w:p>
    <w:p>
      <w:pPr>
        <w:pStyle w:val="23"/>
      </w:pPr>
      <w:r>
        <w:t>窗体顶端</w:t>
      </w:r>
    </w:p>
    <w:p>
      <w:pPr>
        <w:pStyle w:val="25"/>
      </w:pPr>
      <w:r>
        <w:t>窗体顶端</w:t>
      </w:r>
    </w:p>
    <w:p>
      <w:pPr>
        <w:pStyle w:val="27"/>
      </w:pPr>
      <w:r>
        <w:t>窗体顶端</w:t>
      </w:r>
    </w:p>
    <w:p>
      <w:pPr>
        <w:pStyle w:val="29"/>
      </w:pPr>
      <w:r>
        <w:t>窗体顶端</w:t>
      </w:r>
    </w:p>
    <w:p>
      <w:pPr>
        <w:pStyle w:val="29"/>
      </w:pPr>
      <w:r>
        <w:t>窗体顶端</w:t>
      </w:r>
    </w:p>
    <w:p>
      <w:pPr>
        <w:pStyle w:val="29"/>
      </w:pPr>
      <w:r>
        <w:t>窗体顶端</w:t>
      </w:r>
    </w:p>
    <w:p>
      <w:pPr>
        <w:pStyle w:val="35"/>
      </w:pPr>
      <w:r>
        <w:t>窗体顶端</w:t>
      </w:r>
    </w:p>
    <w:p>
      <w:pPr>
        <w:pStyle w:val="37"/>
      </w:pPr>
      <w:r>
        <w:t>窗体顶端</w:t>
      </w:r>
    </w:p>
    <w:p>
      <w:pPr>
        <w:pStyle w:val="39"/>
      </w:pPr>
      <w:r>
        <w:t>窗体顶端</w:t>
      </w:r>
    </w:p>
    <w:p>
      <w:pPr>
        <w:pStyle w:val="41"/>
      </w:pPr>
      <w:r>
        <w:t>窗体顶端</w:t>
      </w:r>
    </w:p>
    <w:p>
      <w:pPr>
        <w:pStyle w:val="43"/>
      </w:pPr>
      <w:r>
        <w:t>窗体顶端</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300" w:beforeAutospacing="0" w:after="0" w:afterAutospacing="0"/>
        <w:ind w:left="0" w:right="0"/>
        <w:jc w:val="center"/>
      </w:pPr>
      <w:bookmarkStart w:id="0" w:name="_GoBack"/>
      <w:r>
        <w:rPr>
          <w:rFonts w:hint="eastAsia" w:ascii="宋体" w:hAnsi="宋体" w:eastAsia="宋体" w:cs="宋体"/>
          <w:b/>
          <w:color w:val="323232"/>
          <w:kern w:val="0"/>
          <w:sz w:val="30"/>
          <w:szCs w:val="30"/>
          <w:u w:val="none"/>
          <w:bdr w:val="none" w:color="auto" w:sz="0" w:space="0"/>
          <w:shd w:val="clear" w:fill="FFFFFF"/>
          <w:lang w:val="en-US" w:eastAsia="zh-CN" w:bidi="ar"/>
        </w:rPr>
        <w:t>昆明市呈贡区第四轮生活垃圾清运市场化运作项目</w:t>
      </w:r>
      <w:r>
        <w:rPr>
          <w:rFonts w:hint="eastAsia" w:ascii="宋体" w:hAnsi="宋体" w:eastAsia="宋体" w:cs="宋体"/>
          <w:b/>
          <w:color w:val="323232"/>
          <w:kern w:val="0"/>
          <w:sz w:val="28"/>
          <w:szCs w:val="28"/>
          <w:u w:val="none"/>
          <w:shd w:val="clear" w:fill="FFFFFF"/>
          <w:lang w:val="en-US" w:eastAsia="zh-CN" w:bidi="ar"/>
        </w:rPr>
        <w:t>结果公示</w:t>
      </w:r>
    </w:p>
    <w:p>
      <w:pPr>
        <w:pStyle w:val="44"/>
      </w:pPr>
      <w:r>
        <w:t>窗体底端</w:t>
      </w:r>
    </w:p>
    <w:p>
      <w:pPr>
        <w:pStyle w:val="43"/>
      </w:pPr>
      <w:r>
        <w:t>窗体顶端</w:t>
      </w:r>
    </w:p>
    <w:p>
      <w:pPr>
        <w:keepNext w:val="0"/>
        <w:keepLines w:val="0"/>
        <w:widowControl/>
        <w:suppressLineNumbers w:val="0"/>
        <w:pBdr>
          <w:top w:val="single" w:color="B6CCDF" w:sz="6" w:space="7"/>
          <w:left w:val="single" w:color="B6CCDF" w:sz="6" w:space="6"/>
          <w:bottom w:val="single" w:color="B6CCDF" w:sz="6" w:space="7"/>
          <w:right w:val="single" w:color="B6CCDF" w:sz="6" w:space="6"/>
        </w:pBdr>
        <w:shd w:val="clear" w:fill="FFFFFF"/>
        <w:spacing w:before="0" w:beforeAutospacing="0" w:after="0" w:afterAutospacing="0" w:line="300" w:lineRule="atLeast"/>
        <w:ind w:left="76" w:right="0"/>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shd w:val="clear" w:fill="FFFFFF"/>
          <w:lang w:val="en-US" w:eastAsia="zh-CN" w:bidi="ar"/>
        </w:rPr>
        <w:t xml:space="preserve">进场交易编号:JKMCG2020090124 </w:t>
      </w:r>
    </w:p>
    <w:bookmarkEnd w:id="0"/>
    <w:p>
      <w:pPr>
        <w:keepNext w:val="0"/>
        <w:keepLines w:val="0"/>
        <w:widowControl/>
        <w:suppressLineNumbers w:val="0"/>
        <w:pBdr>
          <w:top w:val="single" w:color="B6CCDF" w:sz="6" w:space="7"/>
          <w:left w:val="single" w:color="B6CCDF" w:sz="6" w:space="6"/>
          <w:bottom w:val="single" w:color="B6CCDF" w:sz="6" w:space="7"/>
          <w:right w:val="single" w:color="B6CCDF" w:sz="6" w:space="6"/>
        </w:pBdr>
        <w:shd w:val="clear" w:fill="FFFFFF"/>
        <w:spacing w:before="0" w:beforeAutospacing="0" w:after="0" w:afterAutospacing="0" w:line="300" w:lineRule="atLeast"/>
        <w:ind w:left="0" w:right="750"/>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shd w:val="clear" w:fill="FFFFFF"/>
          <w:lang w:val="en-US" w:eastAsia="zh-CN" w:bidi="ar"/>
        </w:rPr>
        <w:t xml:space="preserve">评审日期:2020-10-22 </w:t>
      </w:r>
    </w:p>
    <w:tbl>
      <w:tblPr>
        <w:tblW w:w="5000" w:type="pct"/>
        <w:tblCellSpacing w:w="0" w:type="dxa"/>
        <w:tblInd w:w="5" w:type="dxa"/>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Layout w:type="autofit"/>
        <w:tblCellMar>
          <w:top w:w="0" w:type="dxa"/>
          <w:left w:w="0" w:type="dxa"/>
          <w:bottom w:w="0" w:type="dxa"/>
          <w:right w:w="0" w:type="dxa"/>
        </w:tblCellMar>
      </w:tblPr>
      <w:tblGrid>
        <w:gridCol w:w="2530"/>
        <w:gridCol w:w="1210"/>
        <w:gridCol w:w="3850"/>
        <w:gridCol w:w="1725"/>
      </w:tblGrid>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采购人</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昆明市呈贡区市政管理综合服务中心 </w:t>
            </w:r>
          </w:p>
        </w:tc>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联系电话</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0871-67494933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采购人地址</w:t>
            </w:r>
          </w:p>
        </w:tc>
        <w:tc>
          <w:tcPr>
            <w:tcW w:w="2000" w:type="pct"/>
            <w:gridSpan w:val="3"/>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呈贡区春融西路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采购代理机构</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云南骏航工程咨询有限责任公司 </w:t>
            </w:r>
          </w:p>
        </w:tc>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联系电话</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0871-68215086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采购代理机构地址</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昆明市五华区沙河路中铁云时代广场金地6楼 </w:t>
            </w:r>
          </w:p>
        </w:tc>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采购代理机构是否在失信惩戒记录期内</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object>
                <v:shape id="_x0000_i1046" o:spt="201" type="#_x0000_t201" style="height:15.75pt;width:20.25pt;" o:ole="t" filled="f" o:preferrelative="t" stroked="f" coordsize="21600,21600">
                  <v:path/>
                  <v:fill on="f" focussize="0,0"/>
                  <v:stroke on="f"/>
                  <v:imagedata r:id="rId5" o:title=""/>
                  <o:lock v:ext="edit" aspectratio="t"/>
                  <w10:wrap type="none"/>
                  <w10:anchorlock/>
                </v:shape>
                <w:control r:id="rId4" w:name="Control 22" w:shapeid="_x0000_i1046"/>
              </w:object>
            </w:r>
            <w:r>
              <w:rPr>
                <w:rFonts w:hint="eastAsia" w:ascii="宋体" w:hAnsi="宋体" w:eastAsia="宋体" w:cs="宋体"/>
                <w:color w:val="323232"/>
                <w:kern w:val="0"/>
                <w:sz w:val="22"/>
                <w:szCs w:val="22"/>
                <w:u w:val="none"/>
                <w:bdr w:val="none" w:color="auto" w:sz="0" w:space="0"/>
                <w:lang w:val="en-US" w:eastAsia="zh-CN" w:bidi="ar"/>
              </w:rPr>
              <w:t xml:space="preserve">是     </w:t>
            </w:r>
            <w:r>
              <w:rPr>
                <w:rFonts w:hint="eastAsia" w:ascii="宋体" w:hAnsi="宋体" w:eastAsia="宋体" w:cs="宋体"/>
                <w:color w:val="323232"/>
                <w:kern w:val="0"/>
                <w:sz w:val="22"/>
                <w:szCs w:val="22"/>
                <w:u w:val="none"/>
                <w:bdr w:val="none" w:color="auto" w:sz="0" w:space="0"/>
                <w:lang w:val="en-US" w:eastAsia="zh-CN" w:bidi="ar"/>
              </w:rPr>
              <w:object>
                <v:shape id="_x0000_i1047" o:spt="201" type="#_x0000_t201" style="height:15.75pt;width:20.25pt;" o:ole="t" filled="f" o:preferrelative="t" stroked="f" coordsize="21600,21600">
                  <v:path/>
                  <v:fill on="f" focussize="0,0"/>
                  <v:stroke on="f"/>
                  <v:imagedata r:id="rId5" o:title=""/>
                  <o:lock v:ext="edit" aspectratio="t"/>
                  <w10:wrap type="none"/>
                  <w10:anchorlock/>
                </v:shape>
                <w:control r:id="rId6" w:name="Control 23" w:shapeid="_x0000_i1047"/>
              </w:object>
            </w:r>
            <w:r>
              <w:rPr>
                <w:rFonts w:hint="eastAsia" w:ascii="宋体" w:hAnsi="宋体" w:eastAsia="宋体" w:cs="宋体"/>
                <w:color w:val="323232"/>
                <w:kern w:val="0"/>
                <w:sz w:val="22"/>
                <w:szCs w:val="22"/>
                <w:u w:val="none"/>
                <w:bdr w:val="none" w:color="auto" w:sz="0" w:space="0"/>
                <w:lang w:val="en-US" w:eastAsia="zh-CN" w:bidi="ar"/>
              </w:rPr>
              <w:t xml:space="preserve">否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采购项目名称</w:t>
            </w:r>
          </w:p>
        </w:tc>
        <w:tc>
          <w:tcPr>
            <w:tcW w:w="2000" w:type="pct"/>
            <w:gridSpan w:val="3"/>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昆明市呈贡区第四轮生活垃圾清运市场化运作项目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行业主管部门</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昆明市呈贡区财政局 </w:t>
            </w:r>
          </w:p>
        </w:tc>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项目编号</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YNJH2020130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公示开始时间</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2020-10-26 10:10 </w:t>
            </w:r>
          </w:p>
        </w:tc>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公示结束时间</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2020-10-27 23:59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采购公告日期</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2020-09-29至2020-10-13 </w:t>
            </w:r>
          </w:p>
        </w:tc>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合同履行日期</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合同1年1签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开标（谈判、询价）时间</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2020-10-22 09:30 </w:t>
            </w:r>
          </w:p>
        </w:tc>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开标地点</w:t>
            </w:r>
          </w:p>
        </w:tc>
        <w:tc>
          <w:tcPr>
            <w:tcW w:w="2000" w:type="pct"/>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昆明市公共资源交易中心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blCellSpacing w:w="0" w:type="dxa"/>
          <w:hidden/>
        </w:trPr>
        <w:tc>
          <w:tcPr>
            <w:tcW w:w="2000" w:type="pct"/>
            <w:gridSpan w:val="4"/>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line="375" w:lineRule="atLeast"/>
              <w:jc w:val="left"/>
              <w:textAlignment w:val="center"/>
              <w:rPr>
                <w:rFonts w:hint="eastAsia" w:ascii="宋体" w:hAnsi="宋体" w:eastAsia="宋体" w:cs="宋体"/>
                <w:vanish/>
                <w:color w:val="323232"/>
                <w:sz w:val="22"/>
                <w:szCs w:val="22"/>
                <w:u w:val="none"/>
              </w:rPr>
            </w:pPr>
            <w:r>
              <w:rPr>
                <w:rFonts w:hint="eastAsia" w:ascii="宋体" w:hAnsi="宋体" w:eastAsia="宋体" w:cs="宋体"/>
                <w:vanish/>
                <w:color w:val="000084"/>
                <w:kern w:val="0"/>
                <w:sz w:val="22"/>
                <w:szCs w:val="22"/>
                <w:u w:val="none"/>
                <w:bdr w:val="none" w:color="auto" w:sz="0" w:space="0"/>
                <w:lang w:val="en-US" w:eastAsia="zh-CN" w:bidi="ar"/>
              </w:rPr>
              <w:fldChar w:fldCharType="begin"/>
            </w:r>
            <w:r>
              <w:rPr>
                <w:rFonts w:hint="eastAsia" w:ascii="宋体" w:hAnsi="宋体" w:eastAsia="宋体" w:cs="宋体"/>
                <w:vanish/>
                <w:color w:val="000084"/>
                <w:kern w:val="0"/>
                <w:sz w:val="22"/>
                <w:szCs w:val="22"/>
                <w:u w:val="none"/>
                <w:bdr w:val="none" w:color="auto" w:sz="0" w:space="0"/>
                <w:lang w:val="en-US" w:eastAsia="zh-CN" w:bidi="ar"/>
              </w:rPr>
              <w:instrText xml:space="preserve"> HYPERLINK "https://www.kmggzy.com/Jyweb/javascript:__doPostBack('ctl00$Content$fdFilesZBWJ$lbOldFileName','');document.getElementById('__EVENTTARGET').value = '';document.getElementById('__EVENTARGUMENT').value = '';" </w:instrText>
            </w:r>
            <w:r>
              <w:rPr>
                <w:rFonts w:hint="eastAsia" w:ascii="宋体" w:hAnsi="宋体" w:eastAsia="宋体" w:cs="宋体"/>
                <w:vanish/>
                <w:color w:val="000084"/>
                <w:kern w:val="0"/>
                <w:sz w:val="22"/>
                <w:szCs w:val="22"/>
                <w:u w:val="none"/>
                <w:bdr w:val="none" w:color="auto" w:sz="0" w:space="0"/>
                <w:lang w:val="en-US" w:eastAsia="zh-CN" w:bidi="ar"/>
              </w:rPr>
              <w:fldChar w:fldCharType="separate"/>
            </w:r>
            <w:r>
              <w:rPr>
                <w:rFonts w:hint="eastAsia" w:ascii="宋体" w:hAnsi="宋体" w:eastAsia="宋体" w:cs="宋体"/>
                <w:vanish/>
                <w:color w:val="000084"/>
                <w:kern w:val="0"/>
                <w:sz w:val="22"/>
                <w:szCs w:val="22"/>
                <w:u w:val="none"/>
                <w:bdr w:val="none" w:color="auto" w:sz="0" w:space="0"/>
                <w:lang w:val="en-US" w:eastAsia="zh-CN" w:bidi="ar"/>
              </w:rPr>
              <w:fldChar w:fldCharType="end"/>
            </w:r>
          </w:p>
          <w:p>
            <w:pPr>
              <w:keepNext w:val="0"/>
              <w:keepLines w:val="0"/>
              <w:widowControl/>
              <w:suppressLineNumbers w:val="0"/>
              <w:pBdr>
                <w:top w:val="none" w:color="auto" w:sz="0" w:space="0"/>
                <w:left w:val="none" w:color="auto" w:sz="0" w:space="0"/>
                <w:bottom w:val="none" w:color="auto" w:sz="0" w:space="0"/>
                <w:right w:val="none" w:color="auto" w:sz="0" w:space="0"/>
              </w:pBdr>
              <w:spacing w:line="375" w:lineRule="atLeast"/>
              <w:jc w:val="left"/>
              <w:rPr>
                <w:rFonts w:hint="eastAsia" w:ascii="宋体" w:hAnsi="宋体" w:eastAsia="宋体" w:cs="宋体"/>
                <w:vanish/>
                <w:color w:val="323232"/>
                <w:sz w:val="22"/>
                <w:szCs w:val="22"/>
                <w:u w:val="none"/>
              </w:rPr>
            </w:pPr>
            <w:r>
              <w:rPr>
                <w:rFonts w:hint="eastAsia" w:ascii="宋体" w:hAnsi="宋体" w:eastAsia="宋体" w:cs="宋体"/>
                <w:vanish/>
                <w:color w:val="323232"/>
                <w:kern w:val="0"/>
                <w:sz w:val="22"/>
                <w:szCs w:val="22"/>
                <w:u w:val="none"/>
                <w:bdr w:val="none" w:color="auto" w:sz="0" w:space="0"/>
                <w:lang w:val="en-US" w:eastAsia="zh-CN" w:bidi="ar"/>
              </w:rPr>
              <w:object>
                <v:shape id="_x0000_i1048" o:spt="201" type="#_x0000_t201" style="height:18pt;width:72pt;" o:ole="t" filled="f" o:preferrelative="t" stroked="f" coordsize="21600,21600">
                  <v:path/>
                  <v:fill on="f" focussize="0,0"/>
                  <v:stroke on="f"/>
                  <v:imagedata r:id="rId8" o:title=""/>
                  <o:lock v:ext="edit" aspectratio="t"/>
                  <w10:wrap type="none"/>
                  <w10:anchorlock/>
                </v:shape>
                <w:control r:id="rId7" w:name="Control 24" w:shapeid="_x0000_i1048"/>
              </w:object>
            </w:r>
            <w:r>
              <w:rPr>
                <w:rFonts w:hint="eastAsia" w:ascii="宋体" w:hAnsi="宋体" w:eastAsia="宋体" w:cs="宋体"/>
                <w:vanish/>
                <w:color w:val="323232"/>
                <w:kern w:val="0"/>
                <w:sz w:val="22"/>
                <w:szCs w:val="22"/>
                <w:u w:val="none"/>
                <w:bdr w:val="none" w:color="auto" w:sz="0" w:space="0"/>
                <w:lang w:val="en-US" w:eastAsia="zh-CN" w:bidi="ar"/>
              </w:rPr>
              <w:object>
                <v:shape id="_x0000_i1049" o:spt="201" type="#_x0000_t201" style="height:18pt;width:72pt;" o:ole="t" filled="f" o:preferrelative="t" stroked="f" coordsize="21600,21600">
                  <v:path/>
                  <v:fill on="f" focussize="0,0"/>
                  <v:stroke on="f"/>
                  <v:imagedata r:id="rId8" o:title=""/>
                  <o:lock v:ext="edit" aspectratio="t"/>
                  <w10:wrap type="none"/>
                  <w10:anchorlock/>
                </v:shape>
                <w:control r:id="rId9" w:name="Control 25" w:shapeid="_x0000_i1049"/>
              </w:object>
            </w:r>
            <w:r>
              <w:rPr>
                <w:rFonts w:hint="eastAsia" w:ascii="宋体" w:hAnsi="宋体" w:eastAsia="宋体" w:cs="宋体"/>
                <w:vanish/>
                <w:color w:val="323232"/>
                <w:kern w:val="0"/>
                <w:sz w:val="22"/>
                <w:szCs w:val="22"/>
                <w:u w:val="none"/>
                <w:bdr w:val="none" w:color="auto" w:sz="0" w:space="0"/>
                <w:lang w:val="en-US" w:eastAsia="zh-CN" w:bidi="ar"/>
              </w:rPr>
              <w:object>
                <v:shape id="_x0000_i1050" o:spt="201" type="#_x0000_t201" style="height:18pt;width:72pt;" o:ole="t" filled="f" o:preferrelative="t" stroked="f" coordsize="21600,21600">
                  <v:path/>
                  <v:fill on="f" focussize="0,0"/>
                  <v:stroke on="f"/>
                  <v:imagedata r:id="rId11" o:title=""/>
                  <o:lock v:ext="edit" aspectratio="t"/>
                  <w10:wrap type="none"/>
                  <w10:anchorlock/>
                </v:shape>
                <w:control r:id="rId10" w:name="Control 26" w:shapeid="_x0000_i1050"/>
              </w:object>
            </w:r>
            <w:r>
              <w:rPr>
                <w:rFonts w:hint="eastAsia" w:ascii="宋体" w:hAnsi="宋体" w:eastAsia="宋体" w:cs="宋体"/>
                <w:vanish/>
                <w:color w:val="323232"/>
                <w:kern w:val="0"/>
                <w:sz w:val="22"/>
                <w:szCs w:val="22"/>
                <w:u w:val="none"/>
                <w:bdr w:val="none" w:color="auto" w:sz="0" w:space="0"/>
                <w:lang w:val="en-US" w:eastAsia="zh-CN" w:bidi="ar"/>
              </w:rPr>
              <w:object>
                <v:shape id="_x0000_i1051" o:spt="201" type="#_x0000_t201" style="height:18pt;width:72pt;" o:ole="t" filled="f" o:preferrelative="t" stroked="f" coordsize="21600,21600">
                  <v:path/>
                  <v:fill on="f" focussize="0,0"/>
                  <v:stroke on="f"/>
                  <v:imagedata r:id="rId8" o:title=""/>
                  <o:lock v:ext="edit" aspectratio="t"/>
                  <w10:wrap type="none"/>
                  <w10:anchorlock/>
                </v:shape>
                <w:control r:id="rId12" w:name="Control 27" w:shapeid="_x0000_i1051"/>
              </w:object>
            </w:r>
            <w:r>
              <w:rPr>
                <w:rFonts w:hint="eastAsia" w:ascii="宋体" w:hAnsi="宋体" w:eastAsia="宋体" w:cs="宋体"/>
                <w:vanish/>
                <w:color w:val="323232"/>
                <w:kern w:val="0"/>
                <w:sz w:val="22"/>
                <w:szCs w:val="22"/>
                <w:u w:val="none"/>
                <w:bdr w:val="none" w:color="auto" w:sz="0" w:space="0"/>
                <w:lang w:val="en-US" w:eastAsia="zh-CN" w:bidi="ar"/>
              </w:rPr>
              <w:object>
                <v:shape id="_x0000_i1052" o:spt="201" type="#_x0000_t201" style="height:18pt;width:72pt;" o:ole="t" filled="f" o:preferrelative="t" stroked="f" coordsize="21600,21600">
                  <v:path/>
                  <v:fill on="f" focussize="0,0"/>
                  <v:stroke on="f"/>
                  <v:imagedata r:id="rId8" o:title=""/>
                  <o:lock v:ext="edit" aspectratio="t"/>
                  <w10:wrap type="none"/>
                  <w10:anchorlock/>
                </v:shape>
                <w:control r:id="rId13" w:name="Control 28" w:shapeid="_x0000_i1052"/>
              </w:object>
            </w:r>
            <w:r>
              <w:rPr>
                <w:rFonts w:hint="eastAsia" w:ascii="宋体" w:hAnsi="宋体" w:eastAsia="宋体" w:cs="宋体"/>
                <w:vanish/>
                <w:color w:val="323232"/>
                <w:kern w:val="0"/>
                <w:sz w:val="22"/>
                <w:szCs w:val="22"/>
                <w:u w:val="none"/>
                <w:bdr w:val="none" w:color="auto" w:sz="0" w:space="0"/>
                <w:lang w:val="en-US" w:eastAsia="zh-CN" w:bidi="ar"/>
              </w:rPr>
              <w:object>
                <v:shape id="_x0000_i1053" o:spt="201" type="#_x0000_t201" style="height:18pt;width:72pt;" o:ole="t" filled="f" o:preferrelative="t" stroked="f" coordsize="21600,21600">
                  <v:path/>
                  <v:fill on="f" focussize="0,0"/>
                  <v:stroke on="f"/>
                  <v:imagedata r:id="rId8" o:title=""/>
                  <o:lock v:ext="edit" aspectratio="t"/>
                  <w10:wrap type="none"/>
                  <w10:anchorlock/>
                </v:shape>
                <w:control r:id="rId14" w:name="Control 29" w:shapeid="_x0000_i1053"/>
              </w:object>
            </w:r>
            <w:r>
              <w:rPr>
                <w:rFonts w:hint="eastAsia" w:ascii="宋体" w:hAnsi="宋体" w:eastAsia="宋体" w:cs="宋体"/>
                <w:vanish/>
                <w:color w:val="323232"/>
                <w:kern w:val="0"/>
                <w:sz w:val="22"/>
                <w:szCs w:val="22"/>
                <w:u w:val="none"/>
                <w:bdr w:val="none" w:color="auto" w:sz="0" w:space="0"/>
                <w:lang w:val="en-US" w:eastAsia="zh-CN" w:bidi="ar"/>
              </w:rPr>
              <w:object>
                <v:shape id="_x0000_i1054" o:spt="201" type="#_x0000_t201" style="height:18pt;width:72pt;" o:ole="t" filled="f" o:preferrelative="t" stroked="f" coordsize="21600,21600">
                  <v:path/>
                  <v:fill on="f" focussize="0,0"/>
                  <v:stroke on="f"/>
                  <v:imagedata r:id="rId8" o:title=""/>
                  <o:lock v:ext="edit" aspectratio="t"/>
                  <w10:wrap type="none"/>
                  <w10:anchorlock/>
                </v:shape>
                <w:control r:id="rId15" w:name="Control 30" w:shapeid="_x0000_i1054"/>
              </w:object>
            </w:r>
          </w:p>
          <w:tbl>
            <w:tblPr>
              <w:tblW w:w="5000" w:type="pct"/>
              <w:tblCellSpacing w:w="0" w:type="dxa"/>
              <w:tblInd w:w="-2" w:type="dxa"/>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Layout w:type="autofit"/>
              <w:tblCellMar>
                <w:top w:w="0" w:type="dxa"/>
                <w:left w:w="0" w:type="dxa"/>
                <w:bottom w:w="0" w:type="dxa"/>
                <w:right w:w="0" w:type="dxa"/>
              </w:tblCellMar>
            </w:tblPr>
            <w:tblGrid>
              <w:gridCol w:w="9290"/>
            </w:tblGrid>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blCellSpacing w:w="0" w:type="dxa"/>
              </w:trPr>
              <w:tc>
                <w:tcPr>
                  <w:tcW w:w="0" w:type="auto"/>
                  <w:tcBorders>
                    <w:top w:val="single" w:color="050505" w:sz="2" w:space="0"/>
                    <w:left w:val="single" w:color="050505" w:sz="2" w:space="0"/>
                    <w:bottom w:val="single" w:color="050505" w:sz="6" w:space="0"/>
                    <w:right w:val="single" w:color="050505" w:sz="6" w:space="0"/>
                  </w:tcBorders>
                  <w:shd w:val="clear"/>
                  <w:vAlign w:val="center"/>
                </w:tcPr>
                <w:tbl>
                  <w:tblPr>
                    <w:tblW w:w="5000" w:type="pct"/>
                    <w:tblCellSpacing w:w="0" w:type="dxa"/>
                    <w:tblInd w:w="6" w:type="dxa"/>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Layout w:type="autofit"/>
                    <w:tblCellMar>
                      <w:top w:w="0" w:type="dxa"/>
                      <w:left w:w="0" w:type="dxa"/>
                      <w:bottom w:w="0" w:type="dxa"/>
                      <w:right w:w="0" w:type="dxa"/>
                    </w:tblCellMar>
                  </w:tblPr>
                  <w:tblGrid>
                    <w:gridCol w:w="1621"/>
                    <w:gridCol w:w="1633"/>
                    <w:gridCol w:w="2100"/>
                    <w:gridCol w:w="115"/>
                    <w:gridCol w:w="400"/>
                    <w:gridCol w:w="210"/>
                    <w:gridCol w:w="400"/>
                    <w:gridCol w:w="1065"/>
                    <w:gridCol w:w="1065"/>
                    <w:gridCol w:w="210"/>
                    <w:gridCol w:w="210"/>
                    <w:gridCol w:w="26"/>
                    <w:gridCol w:w="210"/>
                  </w:tblGrid>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blCellSpacing w:w="0" w:type="dxa"/>
                    </w:trPr>
                    <w:tc>
                      <w:tcPr>
                        <w:tcW w:w="0" w:type="auto"/>
                        <w:gridSpan w:val="2"/>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center"/>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中标供应商</w:t>
                        </w:r>
                      </w:p>
                    </w:tc>
                    <w:tc>
                      <w:tcPr>
                        <w:tcW w:w="3000" w:type="dxa"/>
                        <w:tcBorders>
                          <w:top w:val="single" w:color="050505" w:sz="2" w:space="0"/>
                          <w:left w:val="single" w:color="050505" w:sz="2" w:space="0"/>
                          <w:bottom w:val="single" w:color="050505" w:sz="6" w:space="0"/>
                          <w:right w:val="single" w:color="050505" w:sz="6" w:space="0"/>
                        </w:tcBorders>
                        <w:shd w:val="clear"/>
                        <w:vAlign w:val="center"/>
                      </w:tcPr>
                      <w:p>
                        <w:pPr>
                          <w:rPr>
                            <w:rFonts w:hint="eastAsia" w:ascii="宋体" w:hAnsi="宋体" w:eastAsia="宋体" w:cs="宋体"/>
                            <w:vanish/>
                            <w:color w:val="323232"/>
                            <w:sz w:val="19"/>
                            <w:szCs w:val="19"/>
                            <w:u w:val="none"/>
                          </w:rPr>
                        </w:pP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vanish/>
                            <w:color w:val="323232"/>
                            <w:sz w:val="19"/>
                            <w:szCs w:val="19"/>
                            <w:u w:val="none"/>
                          </w:rPr>
                        </w:pPr>
                        <w:r>
                          <w:rPr>
                            <w:rFonts w:hint="eastAsia" w:ascii="宋体" w:hAnsi="宋体" w:eastAsia="宋体" w:cs="宋体"/>
                            <w:vanish/>
                            <w:color w:val="323232"/>
                            <w:kern w:val="0"/>
                            <w:sz w:val="19"/>
                            <w:szCs w:val="19"/>
                            <w:u w:val="none"/>
                            <w:bdr w:val="none" w:color="auto" w:sz="0" w:space="0"/>
                            <w:lang w:val="en-US" w:eastAsia="zh-CN" w:bidi="ar"/>
                          </w:rPr>
                          <w:t>企业代码</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包号</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地址</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采购货物（服务）明细名称</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数量</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采购预算（元）</w:t>
                        </w:r>
                      </w:p>
                    </w:tc>
                    <w:tc>
                      <w:tcPr>
                        <w:tcW w:w="0" w:type="auto"/>
                        <w:gridSpan w:val="2"/>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中标金额</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rPr>
                            <w:rFonts w:hint="eastAsia" w:ascii="宋体" w:hAnsi="宋体" w:eastAsia="宋体" w:cs="宋体"/>
                            <w:vanish/>
                            <w:color w:val="323232"/>
                            <w:sz w:val="19"/>
                            <w:szCs w:val="19"/>
                            <w:u w:val="none"/>
                          </w:rPr>
                        </w:pP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失信惩戒情况</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blCellSpacing w:w="0" w:type="dxa"/>
                    </w:trPr>
                    <w:tc>
                      <w:tcPr>
                        <w:tcW w:w="875" w:type="pct"/>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center"/>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第一中标候选人</w:t>
                        </w:r>
                      </w:p>
                    </w:tc>
                    <w:tc>
                      <w:tcPr>
                        <w:tcW w:w="2250" w:type="dxa"/>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云南博捷环境工程有限公司</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vanish/>
                            <w:color w:val="323232"/>
                            <w:sz w:val="19"/>
                            <w:szCs w:val="19"/>
                            <w:u w:val="none"/>
                          </w:rPr>
                        </w:pPr>
                        <w:r>
                          <w:rPr>
                            <w:rFonts w:hint="eastAsia" w:ascii="宋体" w:hAnsi="宋体" w:eastAsia="宋体" w:cs="宋体"/>
                            <w:vanish/>
                            <w:color w:val="323232"/>
                            <w:kern w:val="0"/>
                            <w:sz w:val="19"/>
                            <w:szCs w:val="19"/>
                            <w:u w:val="none"/>
                            <w:bdr w:val="none" w:color="auto" w:sz="0" w:space="0"/>
                            <w:lang w:val="en-US" w:eastAsia="zh-CN" w:bidi="ar"/>
                          </w:rPr>
                          <w:t>915301006765634874</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1</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昆明市经开区洛羊街道小新册村2310号室</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昆明市呈贡区第四轮生活垃圾清运市场化运作</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1年</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16800000.00</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16371600.00元</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无</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无</w:t>
                        </w:r>
                      </w:p>
                    </w:tc>
                    <w:tc>
                      <w:tcPr>
                        <w:tcW w:w="0" w:type="auto"/>
                        <w:tcBorders>
                          <w:top w:val="single" w:color="B6CCDF" w:sz="2" w:space="0"/>
                          <w:left w:val="single" w:color="B6CCDF" w:sz="2" w:space="0"/>
                          <w:bottom w:val="single" w:color="B6CCDF" w:sz="2" w:space="0"/>
                          <w:right w:val="single" w:color="B6CCDF" w:sz="2" w:space="0"/>
                        </w:tcBorders>
                        <w:shd w:val="clear"/>
                        <w:vAlign w:val="center"/>
                      </w:tcPr>
                      <w:p>
                        <w:pPr>
                          <w:rPr>
                            <w:rFonts w:hint="eastAsia" w:ascii="宋体" w:hAnsi="宋体" w:eastAsia="宋体" w:cs="宋体"/>
                            <w:color w:val="323232"/>
                            <w:sz w:val="19"/>
                            <w:szCs w:val="19"/>
                            <w:u w:val="none"/>
                          </w:rPr>
                        </w:pPr>
                      </w:p>
                    </w:tc>
                    <w:tc>
                      <w:tcPr>
                        <w:tcW w:w="0" w:type="auto"/>
                        <w:tcBorders>
                          <w:top w:val="single" w:color="B6CCDF" w:sz="2" w:space="0"/>
                          <w:left w:val="single" w:color="B6CCDF" w:sz="2" w:space="0"/>
                          <w:bottom w:val="single" w:color="B6CCDF" w:sz="2" w:space="0"/>
                          <w:right w:val="single" w:color="B6CCDF" w:sz="2" w:space="0"/>
                        </w:tcBorders>
                        <w:shd w:val="clear"/>
                        <w:vAlign w:val="center"/>
                      </w:tcPr>
                      <w:p>
                        <w:pPr>
                          <w:rPr>
                            <w:rFonts w:hint="eastAsia" w:ascii="宋体" w:hAnsi="宋体" w:eastAsia="宋体" w:cs="宋体"/>
                            <w:color w:val="323232"/>
                            <w:sz w:val="19"/>
                            <w:szCs w:val="19"/>
                            <w:u w:val="none"/>
                          </w:rPr>
                        </w:pPr>
                      </w:p>
                    </w:tc>
                  </w:tr>
                </w:tbl>
                <w:p>
                  <w:pPr>
                    <w:rPr>
                      <w:vanish/>
                      <w:sz w:val="24"/>
                      <w:szCs w:val="24"/>
                    </w:rPr>
                  </w:pPr>
                </w:p>
                <w:tbl>
                  <w:tblPr>
                    <w:tblW w:w="5000" w:type="pct"/>
                    <w:tblCellSpacing w:w="0" w:type="dxa"/>
                    <w:tblInd w:w="6" w:type="dxa"/>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Layout w:type="autofit"/>
                    <w:tblCellMar>
                      <w:top w:w="0" w:type="dxa"/>
                      <w:left w:w="0" w:type="dxa"/>
                      <w:bottom w:w="0" w:type="dxa"/>
                      <w:right w:w="0" w:type="dxa"/>
                    </w:tblCellMar>
                  </w:tblPr>
                  <w:tblGrid>
                    <w:gridCol w:w="1621"/>
                    <w:gridCol w:w="7644"/>
                  </w:tblGrid>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blCellSpacing w:w="0" w:type="dxa"/>
                    </w:trPr>
                    <w:tc>
                      <w:tcPr>
                        <w:tcW w:w="875" w:type="pct"/>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center"/>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采购文件</w:t>
                        </w:r>
                      </w:p>
                    </w:tc>
                    <w:tc>
                      <w:tcPr>
                        <w:tcW w:w="4125" w:type="pct"/>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ind w:left="75"/>
                          <w:jc w:val="left"/>
                          <w:rPr>
                            <w:rFonts w:hint="eastAsia" w:ascii="宋体" w:hAnsi="宋体" w:eastAsia="宋体" w:cs="宋体"/>
                            <w:color w:val="323232"/>
                            <w:sz w:val="19"/>
                            <w:szCs w:val="19"/>
                            <w:u w:val="none"/>
                          </w:rPr>
                        </w:pPr>
                        <w:r>
                          <w:rPr>
                            <w:rFonts w:hint="eastAsia" w:ascii="宋体" w:hAnsi="宋体" w:eastAsia="宋体" w:cs="宋体"/>
                            <w:color w:val="000084"/>
                            <w:kern w:val="0"/>
                            <w:sz w:val="19"/>
                            <w:szCs w:val="19"/>
                            <w:u w:val="none"/>
                            <w:lang w:val="en-US" w:eastAsia="zh-CN" w:bidi="ar"/>
                          </w:rPr>
                          <w:fldChar w:fldCharType="begin"/>
                        </w:r>
                        <w:r>
                          <w:rPr>
                            <w:rFonts w:hint="eastAsia" w:ascii="宋体" w:hAnsi="宋体" w:eastAsia="宋体" w:cs="宋体"/>
                            <w:color w:val="000084"/>
                            <w:kern w:val="0"/>
                            <w:sz w:val="19"/>
                            <w:szCs w:val="19"/>
                            <w:u w:val="none"/>
                            <w:lang w:val="en-US" w:eastAsia="zh-CN" w:bidi="ar"/>
                          </w:rPr>
                          <w:instrText xml:space="preserve"> HYPERLINK "https://www.kmggzy.com/Jyweb/javascript:lbOldFileName_ClientClick('(招标)YNJH2020130昆明市呈贡区第四轮生活垃圾清运市场化运作.ZCZBJ', '1e810c41-f70d-42b5-989c-6ddf96ec9860.ZCZBJ')" </w:instrText>
                        </w:r>
                        <w:r>
                          <w:rPr>
                            <w:rFonts w:hint="eastAsia" w:ascii="宋体" w:hAnsi="宋体" w:eastAsia="宋体" w:cs="宋体"/>
                            <w:color w:val="000084"/>
                            <w:kern w:val="0"/>
                            <w:sz w:val="19"/>
                            <w:szCs w:val="19"/>
                            <w:u w:val="none"/>
                            <w:lang w:val="en-US" w:eastAsia="zh-CN" w:bidi="ar"/>
                          </w:rPr>
                          <w:fldChar w:fldCharType="separate"/>
                        </w:r>
                        <w:r>
                          <w:rPr>
                            <w:rStyle w:val="8"/>
                            <w:rFonts w:hint="eastAsia" w:ascii="宋体" w:hAnsi="宋体" w:eastAsia="宋体" w:cs="宋体"/>
                            <w:color w:val="000084"/>
                            <w:sz w:val="19"/>
                            <w:szCs w:val="19"/>
                            <w:u w:val="none"/>
                          </w:rPr>
                          <w:t>(招标)YNJH2020130昆明市呈贡区第四轮生活垃圾清运市场化运作.ZCZBJ</w:t>
                        </w:r>
                        <w:r>
                          <w:rPr>
                            <w:rFonts w:hint="eastAsia" w:ascii="宋体" w:hAnsi="宋体" w:eastAsia="宋体" w:cs="宋体"/>
                            <w:color w:val="000084"/>
                            <w:kern w:val="0"/>
                            <w:sz w:val="19"/>
                            <w:szCs w:val="19"/>
                            <w:u w:val="none"/>
                            <w:lang w:val="en-US" w:eastAsia="zh-CN" w:bidi="ar"/>
                          </w:rPr>
                          <w:fldChar w:fldCharType="end"/>
                        </w:r>
                      </w:p>
                    </w:tc>
                  </w:tr>
                </w:tbl>
                <w:p>
                  <w:pPr>
                    <w:ind w:left="75"/>
                    <w:jc w:val="left"/>
                    <w:rPr>
                      <w:rFonts w:hint="eastAsia" w:ascii="宋体" w:hAnsi="宋体" w:eastAsia="宋体" w:cs="宋体"/>
                      <w:color w:val="323232"/>
                      <w:sz w:val="19"/>
                      <w:szCs w:val="19"/>
                      <w:u w:val="none"/>
                    </w:rPr>
                  </w:pPr>
                </w:p>
              </w:tc>
            </w:tr>
          </w:tbl>
          <w:p>
            <w:pPr>
              <w:jc w:val="left"/>
              <w:rPr>
                <w:rFonts w:hint="eastAsia" w:ascii="宋体" w:hAnsi="宋体" w:eastAsia="宋体" w:cs="宋体"/>
                <w:color w:val="323232"/>
                <w:sz w:val="22"/>
                <w:szCs w:val="22"/>
                <w:u w:val="none"/>
              </w:rPr>
            </w:pP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备注</w:t>
            </w:r>
          </w:p>
        </w:tc>
        <w:tc>
          <w:tcPr>
            <w:tcW w:w="2000" w:type="pct"/>
            <w:gridSpan w:val="3"/>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中标标的：昆明市呈贡区第四轮生活垃圾清运市场化运作，投标单价：116.94元/吨；服务承诺:符合国家及行业标准，安全生产，优于招标文件规定的质量及技术参数，确保并优于达到业主提出的服务要求。随时接受市、区环境卫生行政主管部门的检查、监督和考核；服务期:本次招标期限为3年，但签订合同后若在服务期内月考核连续三个月不合格或一年内累计六个月考核不合格的，将终止合同，合同每年一签，分三级(区城管局、涉及街道办事处、社区居委会）进行考核，考核合格后续签下一年合同，考核不合格则合同终止；一旦中标，中标价即为第一年服务的合同价；第二年及第三年合同履行按云财采〔2015〕16号文件执行。中标服务费：由中标人向代理机构缴纳中标服务费，费用：40000元。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blCellSpacing w:w="0" w:type="dxa"/>
          <w:hidden/>
        </w:trPr>
        <w:tc>
          <w:tcPr>
            <w:tcW w:w="0" w:type="auto"/>
            <w:gridSpan w:val="4"/>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spacing w:line="375" w:lineRule="atLeast"/>
              <w:jc w:val="center"/>
              <w:rPr>
                <w:rFonts w:hint="eastAsia" w:ascii="宋体" w:hAnsi="宋体" w:eastAsia="宋体" w:cs="宋体"/>
                <w:vanish/>
                <w:color w:val="323232"/>
                <w:sz w:val="22"/>
                <w:szCs w:val="22"/>
                <w:u w:val="none"/>
              </w:rPr>
            </w:pPr>
            <w:r>
              <w:rPr>
                <w:rFonts w:hint="eastAsia" w:ascii="宋体" w:hAnsi="宋体" w:eastAsia="宋体" w:cs="宋体"/>
                <w:vanish/>
                <w:color w:val="323232"/>
                <w:kern w:val="0"/>
                <w:sz w:val="22"/>
                <w:szCs w:val="22"/>
                <w:u w:val="none"/>
                <w:bdr w:val="none" w:color="auto" w:sz="0" w:space="0"/>
                <w:lang w:val="en-US" w:eastAsia="zh-CN" w:bidi="ar"/>
              </w:rPr>
              <w:t xml:space="preserve">流标情况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blCellSpacing w:w="0" w:type="dxa"/>
          <w:hidden/>
        </w:trPr>
        <w:tc>
          <w:tcPr>
            <w:tcW w:w="0" w:type="auto"/>
            <w:gridSpan w:val="4"/>
            <w:tcBorders>
              <w:top w:val="single" w:color="050505" w:sz="2" w:space="0"/>
              <w:left w:val="single" w:color="050505" w:sz="2" w:space="0"/>
              <w:bottom w:val="single" w:color="050505" w:sz="6" w:space="0"/>
              <w:right w:val="single" w:color="050505" w:sz="6" w:space="0"/>
            </w:tcBorders>
            <w:shd w:val="clear"/>
            <w:vAlign w:val="center"/>
          </w:tcPr>
          <w:p>
            <w:pPr>
              <w:rPr>
                <w:rFonts w:hint="eastAsia" w:ascii="宋体" w:hAnsi="宋体" w:eastAsia="宋体" w:cs="宋体"/>
                <w:vanish/>
                <w:color w:val="323232"/>
                <w:sz w:val="22"/>
                <w:szCs w:val="22"/>
                <w:u w:val="none"/>
              </w:rPr>
            </w:pP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gridSpan w:val="4"/>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spacing w:line="375" w:lineRule="atLeast"/>
              <w:jc w:val="center"/>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经评审废标情况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gridSpan w:val="4"/>
            <w:tcBorders>
              <w:top w:val="single" w:color="050505" w:sz="2" w:space="0"/>
              <w:left w:val="single" w:color="050505" w:sz="2" w:space="0"/>
              <w:bottom w:val="single" w:color="050505" w:sz="6" w:space="0"/>
              <w:right w:val="single" w:color="050505" w:sz="6" w:space="0"/>
            </w:tcBorders>
            <w:shd w:val="clear"/>
            <w:vAlign w:val="center"/>
          </w:tcPr>
          <w:tbl>
            <w:tblPr>
              <w:tblW w:w="5000" w:type="pct"/>
              <w:tblCellSpacing w:w="0" w:type="dxa"/>
              <w:tblInd w:w="6" w:type="dxa"/>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Layout w:type="autofit"/>
              <w:tblCellMar>
                <w:top w:w="0" w:type="dxa"/>
                <w:left w:w="0" w:type="dxa"/>
                <w:bottom w:w="0" w:type="dxa"/>
                <w:right w:w="0" w:type="dxa"/>
              </w:tblCellMar>
            </w:tblPr>
            <w:tblGrid>
              <w:gridCol w:w="1981"/>
              <w:gridCol w:w="750"/>
              <w:gridCol w:w="6559"/>
            </w:tblGrid>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shd w:val="clear"/>
                <w:tblCellMar>
                  <w:top w:w="0" w:type="dxa"/>
                  <w:left w:w="0" w:type="dxa"/>
                  <w:bottom w:w="0" w:type="dxa"/>
                  <w:right w:w="0" w:type="dxa"/>
                </w:tblCellMar>
              </w:tblPrEx>
              <w:trPr>
                <w:tblCellSpacing w:w="0" w:type="dxa"/>
              </w:trPr>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被废标供应商名称</w:t>
                  </w:r>
                </w:p>
              </w:tc>
              <w:tc>
                <w:tcPr>
                  <w:tcW w:w="750" w:type="dxa"/>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包号</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废标原因</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昆明长水保洁服务有限公司</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1</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投标文件资格证明材料中未提供资格要求第（1）项③条的证明材料，资格审查不通过。</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云南中联金斯特环保工程有限公司</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1</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投标文件资格证明材料中未提供资格要求第（1）项③条的证明材料，未提供资格要求第（3）项①条的证明材料，资格审查不通过。</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孟连美明保洁有限责任公司</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1</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投标文件资格证明材料中提供资格要求第（1）项②条的证明材料不符合招标文件要求，未经审计，未提供资格要求第（3）项①条的证明材料，资格审查不通过。</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昆明滇池国家旅游度假区海洁环卫服务有限公司</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1</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投标文件资格证明材料中提供的资格要求第（1）项②条的证明材料不符合招标文件要求，资格审查不通过。</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昆明洁晓环境卫生服务有限公司</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1</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投标文件资格证明材料中提供的资格要求第（1）项②条的证明材料不符合招标文件要求，资格审查不通过。</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云南浦森城市环境工程有限公司</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1</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投标文件资格证明材料中未提供资格要求第（1）项③条的证明材料，资格审查不通过。</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blCellSpacing w:w="0" w:type="dxa"/>
              </w:trPr>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昆明泳辰保洁服务有限公司</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1</w:t>
                  </w:r>
                </w:p>
              </w:tc>
              <w:tc>
                <w:tcPr>
                  <w:tcW w:w="0" w:type="auto"/>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jc w:val="left"/>
                    <w:rPr>
                      <w:rFonts w:hint="eastAsia" w:ascii="宋体" w:hAnsi="宋体" w:eastAsia="宋体" w:cs="宋体"/>
                      <w:color w:val="323232"/>
                      <w:sz w:val="19"/>
                      <w:szCs w:val="19"/>
                      <w:u w:val="none"/>
                    </w:rPr>
                  </w:pPr>
                  <w:r>
                    <w:rPr>
                      <w:rFonts w:hint="eastAsia" w:ascii="宋体" w:hAnsi="宋体" w:eastAsia="宋体" w:cs="宋体"/>
                      <w:color w:val="323232"/>
                      <w:kern w:val="0"/>
                      <w:sz w:val="19"/>
                      <w:szCs w:val="19"/>
                      <w:u w:val="none"/>
                      <w:bdr w:val="none" w:color="auto" w:sz="0" w:space="0"/>
                      <w:lang w:val="en-US" w:eastAsia="zh-CN" w:bidi="ar"/>
                    </w:rPr>
                    <w:t>投标文件中法定代表人授权委托书中委托代理人未按招标文件要求签字，符合性审查不通过。</w:t>
                  </w:r>
                </w:p>
              </w:tc>
            </w:tr>
          </w:tbl>
          <w:p>
            <w:pPr>
              <w:rPr>
                <w:rFonts w:hint="eastAsia" w:ascii="宋体" w:hAnsi="宋体" w:eastAsia="宋体" w:cs="宋体"/>
                <w:color w:val="323232"/>
                <w:sz w:val="22"/>
                <w:szCs w:val="22"/>
                <w:u w:val="none"/>
              </w:rPr>
            </w:pP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blCellSpacing w:w="0" w:type="dxa"/>
          <w:hidden/>
        </w:trPr>
        <w:tc>
          <w:tcPr>
            <w:tcW w:w="0" w:type="auto"/>
            <w:gridSpan w:val="4"/>
            <w:tcBorders>
              <w:top w:val="single" w:color="050505" w:sz="2" w:space="0"/>
              <w:left w:val="single" w:color="050505" w:sz="2" w:space="0"/>
              <w:bottom w:val="single" w:color="050505" w:sz="6" w:space="0"/>
              <w:right w:val="single" w:color="050505" w:sz="6" w:space="0"/>
            </w:tcBorders>
            <w:shd w:val="clear"/>
            <w:vAlign w:val="center"/>
          </w:tcPr>
          <w:p>
            <w:pPr>
              <w:keepNext w:val="0"/>
              <w:keepLines w:val="0"/>
              <w:widowControl/>
              <w:suppressLineNumbers w:val="0"/>
              <w:spacing w:line="375" w:lineRule="atLeast"/>
              <w:jc w:val="left"/>
              <w:rPr>
                <w:rFonts w:hint="eastAsia" w:ascii="宋体" w:hAnsi="宋体" w:eastAsia="宋体" w:cs="宋体"/>
                <w:vanish/>
                <w:color w:val="323232"/>
                <w:sz w:val="22"/>
                <w:szCs w:val="22"/>
                <w:u w:val="none"/>
              </w:rPr>
            </w:pPr>
            <w:r>
              <w:rPr>
                <w:rFonts w:hint="eastAsia" w:ascii="宋体" w:hAnsi="宋体" w:eastAsia="宋体" w:cs="宋体"/>
                <w:vanish/>
                <w:color w:val="323232"/>
                <w:kern w:val="0"/>
                <w:sz w:val="22"/>
                <w:szCs w:val="22"/>
                <w:u w:val="none"/>
                <w:bdr w:val="none" w:color="auto" w:sz="0" w:space="0"/>
                <w:lang w:val="en-US" w:eastAsia="zh-CN" w:bidi="ar"/>
              </w:rPr>
              <w:t xml:space="preserve">本项目没有投标人被废标！ </w:t>
            </w:r>
          </w:p>
        </w:tc>
      </w:tr>
      <w:tr>
        <w:tblPrEx>
          <w:tblBorders>
            <w:top w:val="single" w:color="B6CCDF" w:sz="2" w:space="0"/>
            <w:left w:val="single" w:color="B6CCDF" w:sz="2" w:space="0"/>
            <w:bottom w:val="single" w:color="B6CCDF" w:sz="2" w:space="0"/>
            <w:right w:val="single" w:color="B6CCDF" w:sz="2" w:space="0"/>
            <w:insideH w:val="none" w:color="auto" w:sz="0" w:space="0"/>
            <w:insideV w:val="none" w:color="auto" w:sz="0" w:space="0"/>
          </w:tblBorders>
          <w:tblCellMar>
            <w:top w:w="0" w:type="dxa"/>
            <w:left w:w="0" w:type="dxa"/>
            <w:bottom w:w="0" w:type="dxa"/>
            <w:right w:w="0" w:type="dxa"/>
          </w:tblCellMar>
        </w:tblPrEx>
        <w:trPr>
          <w:trHeight w:val="360" w:hRule="atLeast"/>
          <w:tblCellSpacing w:w="0" w:type="dxa"/>
        </w:trPr>
        <w:tc>
          <w:tcPr>
            <w:tcW w:w="500" w:type="pct"/>
            <w:tcBorders>
              <w:top w:val="single" w:color="050505" w:sz="2" w:space="0"/>
              <w:left w:val="single" w:color="050505" w:sz="2" w:space="0"/>
              <w:bottom w:val="single" w:color="050505" w:sz="6" w:space="0"/>
              <w:right w:val="single" w:color="050505" w:sz="6" w:space="0"/>
            </w:tcBorders>
            <w:shd w:val="clear"/>
            <w:noWrap/>
            <w:tcMar>
              <w:top w:w="45" w:type="dxa"/>
              <w:left w:w="45" w:type="dxa"/>
              <w:bottom w:w="45" w:type="dxa"/>
              <w:right w:w="45" w:type="dxa"/>
            </w:tcMar>
            <w:vAlign w:val="center"/>
          </w:tcPr>
          <w:p>
            <w:pPr>
              <w:keepNext w:val="0"/>
              <w:keepLines w:val="0"/>
              <w:widowControl/>
              <w:suppressLineNumbers w:val="0"/>
              <w:spacing w:line="375" w:lineRule="atLeast"/>
              <w:jc w:val="righ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评标委员会成员名单</w:t>
            </w:r>
          </w:p>
        </w:tc>
        <w:tc>
          <w:tcPr>
            <w:tcW w:w="2000" w:type="pct"/>
            <w:gridSpan w:val="3"/>
            <w:tcBorders>
              <w:top w:val="single" w:color="050505" w:sz="2" w:space="0"/>
              <w:left w:val="single" w:color="050505" w:sz="2" w:space="0"/>
              <w:bottom w:val="single" w:color="050505" w:sz="6" w:space="0"/>
              <w:right w:val="single" w:color="050505" w:sz="6" w:space="0"/>
            </w:tcBorders>
            <w:shd w:val="clear"/>
            <w:tcMar>
              <w:top w:w="45" w:type="dxa"/>
              <w:left w:w="45" w:type="dxa"/>
              <w:bottom w:w="45" w:type="dxa"/>
              <w:right w:w="45" w:type="dxa"/>
            </w:tcMar>
            <w:vAlign w:val="center"/>
          </w:tcPr>
          <w:p>
            <w:pPr>
              <w:keepNext w:val="0"/>
              <w:keepLines w:val="0"/>
              <w:widowControl/>
              <w:suppressLineNumbers w:val="0"/>
              <w:spacing w:line="375" w:lineRule="atLeast"/>
              <w:jc w:val="left"/>
              <w:rPr>
                <w:rFonts w:hint="eastAsia" w:ascii="宋体" w:hAnsi="宋体" w:eastAsia="宋体" w:cs="宋体"/>
                <w:color w:val="323232"/>
                <w:sz w:val="22"/>
                <w:szCs w:val="22"/>
                <w:u w:val="none"/>
              </w:rPr>
            </w:pPr>
            <w:r>
              <w:rPr>
                <w:rFonts w:hint="eastAsia" w:ascii="宋体" w:hAnsi="宋体" w:eastAsia="宋体" w:cs="宋体"/>
                <w:color w:val="323232"/>
                <w:kern w:val="0"/>
                <w:sz w:val="22"/>
                <w:szCs w:val="22"/>
                <w:u w:val="none"/>
                <w:bdr w:val="none" w:color="auto" w:sz="0" w:space="0"/>
                <w:lang w:val="en-US" w:eastAsia="zh-CN" w:bidi="ar"/>
              </w:rPr>
              <w:t xml:space="preserve">王红华、王一竹、杨光亮、潘明瑗、付保红、李启明、梁希 </w:t>
            </w:r>
          </w:p>
        </w:tc>
      </w:tr>
    </w:tbl>
    <w:p>
      <w:pPr>
        <w:pStyle w:val="44"/>
      </w:pPr>
      <w:r>
        <w:t>窗体底端</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D64F76"/>
    <w:rsid w:val="0C8234D4"/>
    <w:rsid w:val="1ABF59AC"/>
    <w:rsid w:val="1C8334CC"/>
    <w:rsid w:val="27845E3A"/>
    <w:rsid w:val="2CFC2947"/>
    <w:rsid w:val="36422B21"/>
    <w:rsid w:val="37E26A3D"/>
    <w:rsid w:val="3AE95E8A"/>
    <w:rsid w:val="43BD2E06"/>
    <w:rsid w:val="447D53E3"/>
    <w:rsid w:val="4D0666F4"/>
    <w:rsid w:val="521930C8"/>
    <w:rsid w:val="62EA5DEE"/>
    <w:rsid w:val="6B7441BB"/>
    <w:rsid w:val="6C991572"/>
    <w:rsid w:val="740472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
    <w:lsdException w:unhideWhenUsed="0" w:uiPriority="0" w:semiHidden="0" w:nam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kern w:val="0"/>
      <w:sz w:val="27"/>
      <w:szCs w:val="27"/>
      <w:lang w:val="en-US" w:eastAsia="zh-CN" w:bidi="ar"/>
    </w:rPr>
  </w:style>
  <w:style w:type="paragraph" w:styleId="3">
    <w:name w:val="heading 4"/>
    <w:basedOn w:val="1"/>
    <w:next w:val="1"/>
    <w:semiHidden/>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kern w:val="0"/>
      <w:sz w:val="24"/>
      <w:szCs w:val="24"/>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7">
    <w:name w:val="FollowedHyperlink"/>
    <w:basedOn w:val="6"/>
    <w:qFormat/>
    <w:uiPriority w:val="0"/>
    <w:rPr>
      <w:color w:val="000084"/>
      <w:u w:val="none"/>
    </w:rPr>
  </w:style>
  <w:style w:type="character" w:styleId="8">
    <w:name w:val="Hyperlink"/>
    <w:basedOn w:val="6"/>
    <w:qFormat/>
    <w:uiPriority w:val="0"/>
    <w:rPr>
      <w:color w:val="000084"/>
      <w:u w:val="none"/>
    </w:rPr>
  </w:style>
  <w:style w:type="character" w:customStyle="1" w:styleId="9">
    <w:name w:val="more"/>
    <w:basedOn w:val="6"/>
    <w:qFormat/>
    <w:uiPriority w:val="0"/>
  </w:style>
  <w:style w:type="paragraph" w:customStyle="1" w:styleId="10">
    <w:name w:val="_Style 9"/>
    <w:basedOn w:val="1"/>
    <w:next w:val="1"/>
    <w:qFormat/>
    <w:uiPriority w:val="0"/>
    <w:pPr>
      <w:pBdr>
        <w:bottom w:val="single" w:color="auto" w:sz="6" w:space="1"/>
      </w:pBdr>
      <w:jc w:val="center"/>
    </w:pPr>
    <w:rPr>
      <w:rFonts w:ascii="Arial" w:eastAsia="宋体"/>
      <w:vanish/>
      <w:sz w:val="16"/>
    </w:rPr>
  </w:style>
  <w:style w:type="paragraph" w:customStyle="1" w:styleId="11">
    <w:name w:val="_Style 10"/>
    <w:basedOn w:val="1"/>
    <w:next w:val="1"/>
    <w:qFormat/>
    <w:uiPriority w:val="0"/>
    <w:pPr>
      <w:pBdr>
        <w:top w:val="single" w:color="auto" w:sz="6" w:space="1"/>
      </w:pBdr>
      <w:jc w:val="center"/>
    </w:pPr>
    <w:rPr>
      <w:rFonts w:ascii="Arial" w:eastAsia="宋体"/>
      <w:vanish/>
      <w:sz w:val="16"/>
    </w:rPr>
  </w:style>
  <w:style w:type="paragraph" w:customStyle="1" w:styleId="12">
    <w:name w:val="xxtitle"/>
    <w:basedOn w:val="1"/>
    <w:qFormat/>
    <w:uiPriority w:val="0"/>
    <w:pPr>
      <w:pBdr>
        <w:top w:val="none" w:color="auto" w:sz="0" w:space="0"/>
        <w:left w:val="none" w:color="auto" w:sz="0" w:space="0"/>
        <w:bottom w:val="none" w:color="auto" w:sz="0" w:space="0"/>
        <w:right w:val="none" w:color="auto" w:sz="0" w:space="0"/>
      </w:pBdr>
      <w:jc w:val="center"/>
    </w:pPr>
    <w:rPr>
      <w:rFonts w:hint="eastAsia" w:ascii="宋体" w:hAnsi="宋体" w:eastAsia="宋体" w:cs="宋体"/>
      <w:b/>
      <w:kern w:val="0"/>
      <w:sz w:val="28"/>
      <w:szCs w:val="28"/>
      <w:lang w:val="en-US" w:eastAsia="zh-CN" w:bidi="ar"/>
    </w:rPr>
  </w:style>
  <w:style w:type="paragraph" w:customStyle="1" w:styleId="13">
    <w:name w:val="_Style 12"/>
    <w:basedOn w:val="1"/>
    <w:next w:val="1"/>
    <w:qFormat/>
    <w:uiPriority w:val="0"/>
    <w:pPr>
      <w:pBdr>
        <w:bottom w:val="single" w:color="auto" w:sz="6" w:space="1"/>
      </w:pBdr>
      <w:jc w:val="center"/>
    </w:pPr>
    <w:rPr>
      <w:rFonts w:ascii="Arial" w:eastAsia="宋体"/>
      <w:vanish/>
      <w:sz w:val="16"/>
    </w:rPr>
  </w:style>
  <w:style w:type="paragraph" w:customStyle="1" w:styleId="14">
    <w:name w:val="_Style 13"/>
    <w:basedOn w:val="1"/>
    <w:next w:val="1"/>
    <w:qFormat/>
    <w:uiPriority w:val="0"/>
    <w:pPr>
      <w:pBdr>
        <w:top w:val="single" w:color="auto" w:sz="6" w:space="1"/>
      </w:pBdr>
      <w:jc w:val="center"/>
    </w:pPr>
    <w:rPr>
      <w:rFonts w:ascii="Arial" w:eastAsia="宋体"/>
      <w:vanish/>
      <w:sz w:val="16"/>
    </w:rPr>
  </w:style>
  <w:style w:type="paragraph" w:customStyle="1" w:styleId="15">
    <w:name w:val="_Style 14"/>
    <w:basedOn w:val="1"/>
    <w:next w:val="1"/>
    <w:qFormat/>
    <w:uiPriority w:val="0"/>
    <w:pPr>
      <w:pBdr>
        <w:bottom w:val="single" w:color="auto" w:sz="6" w:space="1"/>
      </w:pBdr>
      <w:jc w:val="center"/>
    </w:pPr>
    <w:rPr>
      <w:rFonts w:ascii="Arial" w:eastAsia="宋体"/>
      <w:vanish/>
      <w:sz w:val="16"/>
    </w:rPr>
  </w:style>
  <w:style w:type="paragraph" w:customStyle="1" w:styleId="16">
    <w:name w:val="_Style 15"/>
    <w:basedOn w:val="1"/>
    <w:next w:val="1"/>
    <w:qFormat/>
    <w:uiPriority w:val="0"/>
    <w:pPr>
      <w:pBdr>
        <w:top w:val="single" w:color="auto" w:sz="6" w:space="1"/>
      </w:pBdr>
      <w:jc w:val="center"/>
    </w:pPr>
    <w:rPr>
      <w:rFonts w:ascii="Arial" w:eastAsia="宋体"/>
      <w:vanish/>
      <w:sz w:val="16"/>
    </w:rPr>
  </w:style>
  <w:style w:type="paragraph" w:customStyle="1" w:styleId="17">
    <w:name w:val="_Style 16"/>
    <w:basedOn w:val="1"/>
    <w:next w:val="1"/>
    <w:qFormat/>
    <w:uiPriority w:val="0"/>
    <w:pPr>
      <w:pBdr>
        <w:bottom w:val="single" w:color="auto" w:sz="6" w:space="1"/>
      </w:pBdr>
      <w:jc w:val="center"/>
    </w:pPr>
    <w:rPr>
      <w:rFonts w:ascii="Arial" w:eastAsia="宋体"/>
      <w:vanish/>
      <w:sz w:val="16"/>
    </w:rPr>
  </w:style>
  <w:style w:type="paragraph" w:customStyle="1" w:styleId="18">
    <w:name w:val="_Style 17"/>
    <w:basedOn w:val="1"/>
    <w:next w:val="1"/>
    <w:qFormat/>
    <w:uiPriority w:val="0"/>
    <w:pPr>
      <w:pBdr>
        <w:top w:val="single" w:color="auto" w:sz="6" w:space="1"/>
      </w:pBdr>
      <w:jc w:val="center"/>
    </w:pPr>
    <w:rPr>
      <w:rFonts w:ascii="Arial" w:eastAsia="宋体"/>
      <w:vanish/>
      <w:sz w:val="16"/>
    </w:rPr>
  </w:style>
  <w:style w:type="paragraph" w:customStyle="1" w:styleId="19">
    <w:name w:val="_Style 18"/>
    <w:basedOn w:val="1"/>
    <w:next w:val="1"/>
    <w:qFormat/>
    <w:uiPriority w:val="0"/>
    <w:pPr>
      <w:pBdr>
        <w:bottom w:val="single" w:color="auto" w:sz="6" w:space="1"/>
      </w:pBdr>
      <w:jc w:val="center"/>
    </w:pPr>
    <w:rPr>
      <w:rFonts w:ascii="Arial" w:eastAsia="宋体"/>
      <w:vanish/>
      <w:sz w:val="16"/>
    </w:rPr>
  </w:style>
  <w:style w:type="paragraph" w:customStyle="1" w:styleId="20">
    <w:name w:val="_Style 19"/>
    <w:basedOn w:val="1"/>
    <w:next w:val="1"/>
    <w:qFormat/>
    <w:uiPriority w:val="0"/>
    <w:pPr>
      <w:pBdr>
        <w:top w:val="single" w:color="auto" w:sz="6" w:space="1"/>
      </w:pBdr>
      <w:jc w:val="center"/>
    </w:pPr>
    <w:rPr>
      <w:rFonts w:ascii="Arial" w:eastAsia="宋体"/>
      <w:vanish/>
      <w:sz w:val="16"/>
    </w:rPr>
  </w:style>
  <w:style w:type="paragraph" w:customStyle="1" w:styleId="21">
    <w:name w:val="_Style 20"/>
    <w:basedOn w:val="1"/>
    <w:next w:val="1"/>
    <w:qFormat/>
    <w:uiPriority w:val="0"/>
    <w:pPr>
      <w:pBdr>
        <w:bottom w:val="single" w:color="auto" w:sz="6" w:space="1"/>
      </w:pBdr>
      <w:jc w:val="center"/>
    </w:pPr>
    <w:rPr>
      <w:rFonts w:ascii="Arial" w:eastAsia="宋体"/>
      <w:vanish/>
      <w:sz w:val="16"/>
    </w:rPr>
  </w:style>
  <w:style w:type="paragraph" w:customStyle="1" w:styleId="22">
    <w:name w:val="_Style 21"/>
    <w:basedOn w:val="1"/>
    <w:next w:val="1"/>
    <w:qFormat/>
    <w:uiPriority w:val="0"/>
    <w:pPr>
      <w:pBdr>
        <w:top w:val="single" w:color="auto" w:sz="6" w:space="1"/>
      </w:pBdr>
      <w:jc w:val="center"/>
    </w:pPr>
    <w:rPr>
      <w:rFonts w:ascii="Arial" w:eastAsia="宋体"/>
      <w:vanish/>
      <w:sz w:val="16"/>
    </w:rPr>
  </w:style>
  <w:style w:type="paragraph" w:customStyle="1" w:styleId="23">
    <w:name w:val="_Style 22"/>
    <w:basedOn w:val="1"/>
    <w:next w:val="1"/>
    <w:qFormat/>
    <w:uiPriority w:val="0"/>
    <w:pPr>
      <w:pBdr>
        <w:bottom w:val="single" w:color="auto" w:sz="6" w:space="1"/>
      </w:pBdr>
      <w:jc w:val="center"/>
    </w:pPr>
    <w:rPr>
      <w:rFonts w:ascii="Arial" w:eastAsia="宋体"/>
      <w:vanish/>
      <w:sz w:val="16"/>
    </w:rPr>
  </w:style>
  <w:style w:type="paragraph" w:customStyle="1" w:styleId="24">
    <w:name w:val="_Style 23"/>
    <w:basedOn w:val="1"/>
    <w:next w:val="1"/>
    <w:qFormat/>
    <w:uiPriority w:val="0"/>
    <w:pPr>
      <w:pBdr>
        <w:top w:val="single" w:color="auto" w:sz="6" w:space="1"/>
      </w:pBdr>
      <w:jc w:val="center"/>
    </w:pPr>
    <w:rPr>
      <w:rFonts w:ascii="Arial" w:eastAsia="宋体"/>
      <w:vanish/>
      <w:sz w:val="16"/>
    </w:rPr>
  </w:style>
  <w:style w:type="paragraph" w:customStyle="1" w:styleId="25">
    <w:name w:val="_Style 24"/>
    <w:basedOn w:val="1"/>
    <w:next w:val="1"/>
    <w:qFormat/>
    <w:uiPriority w:val="0"/>
    <w:pPr>
      <w:pBdr>
        <w:bottom w:val="single" w:color="auto" w:sz="6" w:space="1"/>
      </w:pBdr>
      <w:jc w:val="center"/>
    </w:pPr>
    <w:rPr>
      <w:rFonts w:ascii="Arial" w:eastAsia="宋体"/>
      <w:vanish/>
      <w:sz w:val="16"/>
    </w:rPr>
  </w:style>
  <w:style w:type="paragraph" w:customStyle="1" w:styleId="26">
    <w:name w:val="_Style 25"/>
    <w:basedOn w:val="1"/>
    <w:next w:val="1"/>
    <w:qFormat/>
    <w:uiPriority w:val="0"/>
    <w:pPr>
      <w:pBdr>
        <w:top w:val="single" w:color="auto" w:sz="6" w:space="1"/>
      </w:pBdr>
      <w:jc w:val="center"/>
    </w:pPr>
    <w:rPr>
      <w:rFonts w:ascii="Arial" w:eastAsia="宋体"/>
      <w:vanish/>
      <w:sz w:val="16"/>
    </w:rPr>
  </w:style>
  <w:style w:type="paragraph" w:customStyle="1" w:styleId="27">
    <w:name w:val="_Style 26"/>
    <w:basedOn w:val="1"/>
    <w:next w:val="1"/>
    <w:qFormat/>
    <w:uiPriority w:val="0"/>
    <w:pPr>
      <w:pBdr>
        <w:bottom w:val="single" w:color="auto" w:sz="6" w:space="1"/>
      </w:pBdr>
      <w:jc w:val="center"/>
    </w:pPr>
    <w:rPr>
      <w:rFonts w:ascii="Arial" w:eastAsia="宋体"/>
      <w:vanish/>
      <w:sz w:val="16"/>
    </w:rPr>
  </w:style>
  <w:style w:type="paragraph" w:customStyle="1" w:styleId="28">
    <w:name w:val="_Style 27"/>
    <w:basedOn w:val="1"/>
    <w:next w:val="1"/>
    <w:qFormat/>
    <w:uiPriority w:val="0"/>
    <w:pPr>
      <w:pBdr>
        <w:top w:val="single" w:color="auto" w:sz="6" w:space="1"/>
      </w:pBdr>
      <w:jc w:val="center"/>
    </w:pPr>
    <w:rPr>
      <w:rFonts w:ascii="Arial" w:eastAsia="宋体"/>
      <w:vanish/>
      <w:sz w:val="16"/>
    </w:rPr>
  </w:style>
  <w:style w:type="paragraph" w:customStyle="1" w:styleId="29">
    <w:name w:val="_Style 28"/>
    <w:basedOn w:val="1"/>
    <w:next w:val="1"/>
    <w:qFormat/>
    <w:uiPriority w:val="0"/>
    <w:pPr>
      <w:pBdr>
        <w:bottom w:val="single" w:color="auto" w:sz="6" w:space="1"/>
      </w:pBdr>
      <w:jc w:val="center"/>
    </w:pPr>
    <w:rPr>
      <w:rFonts w:ascii="Arial" w:eastAsia="宋体"/>
      <w:vanish/>
      <w:sz w:val="16"/>
    </w:rPr>
  </w:style>
  <w:style w:type="paragraph" w:customStyle="1" w:styleId="30">
    <w:name w:val="_Style 29"/>
    <w:basedOn w:val="1"/>
    <w:next w:val="1"/>
    <w:qFormat/>
    <w:uiPriority w:val="0"/>
    <w:pPr>
      <w:pBdr>
        <w:top w:val="single" w:color="auto" w:sz="6" w:space="1"/>
      </w:pBdr>
      <w:jc w:val="center"/>
    </w:pPr>
    <w:rPr>
      <w:rFonts w:ascii="Arial" w:eastAsia="宋体"/>
      <w:vanish/>
      <w:sz w:val="16"/>
    </w:rPr>
  </w:style>
  <w:style w:type="paragraph" w:customStyle="1" w:styleId="31">
    <w:name w:val="_Style 30"/>
    <w:basedOn w:val="1"/>
    <w:next w:val="1"/>
    <w:qFormat/>
    <w:uiPriority w:val="0"/>
    <w:pPr>
      <w:pBdr>
        <w:bottom w:val="single" w:color="auto" w:sz="6" w:space="1"/>
      </w:pBdr>
      <w:jc w:val="center"/>
    </w:pPr>
    <w:rPr>
      <w:rFonts w:ascii="Arial" w:eastAsia="宋体"/>
      <w:vanish/>
      <w:sz w:val="16"/>
    </w:rPr>
  </w:style>
  <w:style w:type="paragraph" w:customStyle="1" w:styleId="32">
    <w:name w:val="_Style 31"/>
    <w:basedOn w:val="1"/>
    <w:next w:val="1"/>
    <w:qFormat/>
    <w:uiPriority w:val="0"/>
    <w:pPr>
      <w:pBdr>
        <w:top w:val="single" w:color="auto" w:sz="6" w:space="1"/>
      </w:pBdr>
      <w:jc w:val="center"/>
    </w:pPr>
    <w:rPr>
      <w:rFonts w:ascii="Arial" w:eastAsia="宋体"/>
      <w:vanish/>
      <w:sz w:val="16"/>
    </w:rPr>
  </w:style>
  <w:style w:type="paragraph" w:customStyle="1" w:styleId="33">
    <w:name w:val="_Style 32"/>
    <w:basedOn w:val="1"/>
    <w:next w:val="1"/>
    <w:qFormat/>
    <w:uiPriority w:val="0"/>
    <w:pPr>
      <w:pBdr>
        <w:bottom w:val="single" w:color="auto" w:sz="6" w:space="1"/>
      </w:pBdr>
      <w:jc w:val="center"/>
    </w:pPr>
    <w:rPr>
      <w:rFonts w:ascii="Arial" w:eastAsia="宋体"/>
      <w:vanish/>
      <w:sz w:val="16"/>
    </w:rPr>
  </w:style>
  <w:style w:type="paragraph" w:customStyle="1" w:styleId="34">
    <w:name w:val="_Style 33"/>
    <w:basedOn w:val="1"/>
    <w:next w:val="1"/>
    <w:qFormat/>
    <w:uiPriority w:val="0"/>
    <w:pPr>
      <w:pBdr>
        <w:top w:val="single" w:color="auto" w:sz="6" w:space="1"/>
      </w:pBdr>
      <w:jc w:val="center"/>
    </w:pPr>
    <w:rPr>
      <w:rFonts w:ascii="Arial" w:eastAsia="宋体"/>
      <w:vanish/>
      <w:sz w:val="16"/>
    </w:rPr>
  </w:style>
  <w:style w:type="paragraph" w:customStyle="1" w:styleId="35">
    <w:name w:val="_Style 34"/>
    <w:basedOn w:val="1"/>
    <w:next w:val="1"/>
    <w:qFormat/>
    <w:uiPriority w:val="0"/>
    <w:pPr>
      <w:pBdr>
        <w:bottom w:val="single" w:color="auto" w:sz="6" w:space="1"/>
      </w:pBdr>
      <w:jc w:val="center"/>
    </w:pPr>
    <w:rPr>
      <w:rFonts w:ascii="Arial" w:eastAsia="宋体"/>
      <w:vanish/>
      <w:sz w:val="16"/>
    </w:rPr>
  </w:style>
  <w:style w:type="paragraph" w:customStyle="1" w:styleId="36">
    <w:name w:val="_Style 35"/>
    <w:basedOn w:val="1"/>
    <w:next w:val="1"/>
    <w:qFormat/>
    <w:uiPriority w:val="0"/>
    <w:pPr>
      <w:pBdr>
        <w:top w:val="single" w:color="auto" w:sz="6" w:space="1"/>
      </w:pBdr>
      <w:jc w:val="center"/>
    </w:pPr>
    <w:rPr>
      <w:rFonts w:ascii="Arial" w:eastAsia="宋体"/>
      <w:vanish/>
      <w:sz w:val="16"/>
    </w:rPr>
  </w:style>
  <w:style w:type="paragraph" w:customStyle="1" w:styleId="37">
    <w:name w:val="_Style 36"/>
    <w:basedOn w:val="1"/>
    <w:next w:val="1"/>
    <w:qFormat/>
    <w:uiPriority w:val="0"/>
    <w:pPr>
      <w:pBdr>
        <w:bottom w:val="single" w:color="auto" w:sz="6" w:space="1"/>
      </w:pBdr>
      <w:jc w:val="center"/>
    </w:pPr>
    <w:rPr>
      <w:rFonts w:ascii="Arial" w:eastAsia="宋体"/>
      <w:vanish/>
      <w:sz w:val="16"/>
    </w:rPr>
  </w:style>
  <w:style w:type="paragraph" w:customStyle="1" w:styleId="38">
    <w:name w:val="_Style 37"/>
    <w:basedOn w:val="1"/>
    <w:next w:val="1"/>
    <w:qFormat/>
    <w:uiPriority w:val="0"/>
    <w:pPr>
      <w:pBdr>
        <w:top w:val="single" w:color="auto" w:sz="6" w:space="1"/>
      </w:pBdr>
      <w:jc w:val="center"/>
    </w:pPr>
    <w:rPr>
      <w:rFonts w:ascii="Arial" w:eastAsia="宋体"/>
      <w:vanish/>
      <w:sz w:val="16"/>
    </w:rPr>
  </w:style>
  <w:style w:type="paragraph" w:customStyle="1" w:styleId="39">
    <w:name w:val="_Style 38"/>
    <w:basedOn w:val="1"/>
    <w:next w:val="1"/>
    <w:uiPriority w:val="0"/>
    <w:pPr>
      <w:pBdr>
        <w:bottom w:val="single" w:color="auto" w:sz="6" w:space="1"/>
      </w:pBdr>
      <w:jc w:val="center"/>
    </w:pPr>
    <w:rPr>
      <w:rFonts w:ascii="Arial" w:eastAsia="宋体"/>
      <w:vanish/>
      <w:sz w:val="16"/>
    </w:rPr>
  </w:style>
  <w:style w:type="paragraph" w:customStyle="1" w:styleId="40">
    <w:name w:val="_Style 39"/>
    <w:basedOn w:val="1"/>
    <w:next w:val="1"/>
    <w:qFormat/>
    <w:uiPriority w:val="0"/>
    <w:pPr>
      <w:pBdr>
        <w:top w:val="single" w:color="auto" w:sz="6" w:space="1"/>
      </w:pBdr>
      <w:jc w:val="center"/>
    </w:pPr>
    <w:rPr>
      <w:rFonts w:ascii="Arial" w:eastAsia="宋体"/>
      <w:vanish/>
      <w:sz w:val="16"/>
    </w:rPr>
  </w:style>
  <w:style w:type="paragraph" w:customStyle="1" w:styleId="41">
    <w:name w:val="_Style 40"/>
    <w:basedOn w:val="1"/>
    <w:next w:val="1"/>
    <w:qFormat/>
    <w:uiPriority w:val="0"/>
    <w:pPr>
      <w:pBdr>
        <w:bottom w:val="single" w:color="auto" w:sz="6" w:space="1"/>
      </w:pBdr>
      <w:jc w:val="center"/>
    </w:pPr>
    <w:rPr>
      <w:rFonts w:ascii="Arial" w:eastAsia="宋体"/>
      <w:vanish/>
      <w:sz w:val="16"/>
    </w:rPr>
  </w:style>
  <w:style w:type="paragraph" w:customStyle="1" w:styleId="42">
    <w:name w:val="_Style 41"/>
    <w:basedOn w:val="1"/>
    <w:next w:val="1"/>
    <w:qFormat/>
    <w:uiPriority w:val="0"/>
    <w:pPr>
      <w:pBdr>
        <w:top w:val="single" w:color="auto" w:sz="6" w:space="1"/>
      </w:pBdr>
      <w:jc w:val="center"/>
    </w:pPr>
    <w:rPr>
      <w:rFonts w:ascii="Arial" w:eastAsia="宋体"/>
      <w:vanish/>
      <w:sz w:val="16"/>
    </w:rPr>
  </w:style>
  <w:style w:type="paragraph" w:styleId="43">
    <w:name w:val=""/>
    <w:basedOn w:val="1"/>
    <w:next w:val="1"/>
    <w:uiPriority w:val="0"/>
    <w:pPr>
      <w:pBdr>
        <w:bottom w:val="single" w:color="auto" w:sz="6" w:space="1"/>
      </w:pBdr>
      <w:jc w:val="center"/>
    </w:pPr>
    <w:rPr>
      <w:rFonts w:ascii="Arial" w:eastAsia="宋体"/>
      <w:vanish/>
      <w:sz w:val="16"/>
    </w:rPr>
  </w:style>
  <w:style w:type="paragraph" w:styleId="44">
    <w:name w:val=""/>
    <w:basedOn w:val="1"/>
    <w:next w:val="1"/>
    <w:uiPriority w:val="0"/>
    <w:pPr>
      <w:pBdr>
        <w:top w:val="single" w:color="auto" w:sz="6" w:space="1"/>
      </w:pBdr>
      <w:jc w:val="center"/>
    </w:pPr>
    <w:rPr>
      <w:rFonts w:ascii="Arial" w:eastAsia="宋体"/>
      <w:vanish/>
      <w:sz w:val="16"/>
    </w:rPr>
  </w:style>
</w:styles>
</file>

<file path=word/_rels/document.xml.rels><?xml version="1.0" encoding="UTF-8" standalone="yes"?>
<Relationships xmlns="http://schemas.openxmlformats.org/package/2006/relationships"><Relationship Id="rId9" Type="http://schemas.openxmlformats.org/officeDocument/2006/relationships/control" Target="activeX/activeX4.xml"/><Relationship Id="rId8" Type="http://schemas.openxmlformats.org/officeDocument/2006/relationships/image" Target="media/image2.wmf"/><Relationship Id="rId7" Type="http://schemas.openxmlformats.org/officeDocument/2006/relationships/control" Target="activeX/activeX3.xml"/><Relationship Id="rId6" Type="http://schemas.openxmlformats.org/officeDocument/2006/relationships/control" Target="activeX/activeX2.xml"/><Relationship Id="rId5" Type="http://schemas.openxmlformats.org/officeDocument/2006/relationships/image" Target="media/image1.wmf"/><Relationship Id="rId4" Type="http://schemas.openxmlformats.org/officeDocument/2006/relationships/control" Target="activeX/activeX1.xml"/><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control" Target="activeX/activeX9.xml"/><Relationship Id="rId14" Type="http://schemas.openxmlformats.org/officeDocument/2006/relationships/control" Target="activeX/activeX8.xml"/><Relationship Id="rId13" Type="http://schemas.openxmlformats.org/officeDocument/2006/relationships/control" Target="activeX/activeX7.xml"/><Relationship Id="rId12" Type="http://schemas.openxmlformats.org/officeDocument/2006/relationships/control" Target="activeX/activeX6.xml"/><Relationship Id="rId11" Type="http://schemas.openxmlformats.org/officeDocument/2006/relationships/image" Target="media/image3.wmf"/><Relationship Id="rId10" Type="http://schemas.openxmlformats.org/officeDocument/2006/relationships/control" Target="activeX/activeX5.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2.bin"/></Relationships>
</file>

<file path=word/activeX/_rels/activeX2.xml.rels><?xml version="1.0" encoding="UTF-8" standalone="yes"?>
<Relationships xmlns="http://schemas.openxmlformats.org/package/2006/relationships"><Relationship Id="rId1" Type="http://schemas.microsoft.com/office/2006/relationships/activeXControlBinary" Target="activeX1.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activeX1.xml><?xml version="1.0" encoding="utf-8"?>
<ax:ocx xmlns:ax="http://schemas.microsoft.com/office/2006/activeX" xmlns:r="http://schemas.openxmlformats.org/officeDocument/2006/relationships" ax:classid="{5512D118-5CC6-11CF-8D67-00AA00BDCE1D}" r:id="rId1" ax:persistence="persistStorage"/>
</file>

<file path=word/activeX/activeX2.xml><?xml version="1.0" encoding="utf-8"?>
<ax:ocx xmlns:ax="http://schemas.microsoft.com/office/2006/activeX" xmlns:r="http://schemas.openxmlformats.org/officeDocument/2006/relationships" ax:classid="{5512D118-5CC6-11CF-8D67-00AA00BDCE1D}" r:id="rId1" ax:persistence="persistStorage"/>
</file>

<file path=word/activeX/activeX3.xml><?xml version="1.0" encoding="utf-8"?>
<ax:ocx xmlns:ax="http://schemas.microsoft.com/office/2006/activeX" xmlns:r="http://schemas.openxmlformats.org/officeDocument/2006/relationships" ax:classid="{5512D11C-5CC6-11CF-8D67-00AA00BDCE1D}" r:id="rId1" ax:persistence="persistStorage"/>
</file>

<file path=word/activeX/activeX4.xml><?xml version="1.0" encoding="utf-8"?>
<ax:ocx xmlns:ax="http://schemas.microsoft.com/office/2006/activeX" xmlns:r="http://schemas.openxmlformats.org/officeDocument/2006/relationships" ax:classid="{5512D11C-5CC6-11CF-8D67-00AA00BDCE1D}" r:id="rId1" ax:persistence="persistStorage"/>
</file>

<file path=word/activeX/activeX5.xml><?xml version="1.0" encoding="utf-8"?>
<ax:ocx xmlns:ax="http://schemas.microsoft.com/office/2006/activeX" xmlns:r="http://schemas.openxmlformats.org/officeDocument/2006/relationships" ax:classid="{5512D11C-5CC6-11CF-8D67-00AA00BDCE1D}" r:id="rId1" ax:persistence="persistStorage"/>
</file>

<file path=word/activeX/activeX6.xml><?xml version="1.0" encoding="utf-8"?>
<ax:ocx xmlns:ax="http://schemas.microsoft.com/office/2006/activeX" xmlns:r="http://schemas.openxmlformats.org/officeDocument/2006/relationships" ax:classid="{5512D11C-5CC6-11CF-8D67-00AA00BDCE1D}" r:id="rId1" ax:persistence="persistStorage"/>
</file>

<file path=word/activeX/activeX7.xml><?xml version="1.0" encoding="utf-8"?>
<ax:ocx xmlns:ax="http://schemas.microsoft.com/office/2006/activeX" xmlns:r="http://schemas.openxmlformats.org/officeDocument/2006/relationships" ax:classid="{5512D11C-5CC6-11CF-8D67-00AA00BDCE1D}" r:id="rId1" ax:persistence="persistStorage"/>
</file>

<file path=word/activeX/activeX8.xml><?xml version="1.0" encoding="utf-8"?>
<ax:ocx xmlns:ax="http://schemas.microsoft.com/office/2006/activeX" xmlns:r="http://schemas.openxmlformats.org/officeDocument/2006/relationships" ax:classid="{5512D11C-5CC6-11CF-8D67-00AA00BDCE1D}" r:id="rId1" ax:persistence="persistStorage"/>
</file>

<file path=word/activeX/activeX9.xml><?xml version="1.0" encoding="utf-8"?>
<ax:ocx xmlns:ax="http://schemas.microsoft.com/office/2006/activeX" xmlns:r="http://schemas.openxmlformats.org/officeDocument/2006/relationships" ax:classid="{5512D11C-5CC6-11CF-8D67-00AA00BDCE1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2020-11-20T06:40:24Z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