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呈贡区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住建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局关于编制评审《昆明市呈贡区住房和城乡建设行业安全生产规划》及修编评审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“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预案</w:t>
      </w:r>
      <w:r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  <w:t>”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的政府购买服务计划</w:t>
      </w:r>
    </w:p>
    <w:p>
      <w:pPr>
        <w:rPr>
          <w:rFonts w:hint="eastAsia"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按照《昆明市呈贡区人民政府办公室关于印发&lt;昆明市呈贡区推进政府购买服务的实施意见（暂行）&gt;的通知》（呈政办发〔2016〕97号）相关规定，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昆明市</w:t>
      </w:r>
      <w:r>
        <w:rPr>
          <w:rFonts w:hint="eastAsia" w:ascii="仿宋_GB2312" w:hAnsi="仿宋_GB2312" w:eastAsia="仿宋_GB2312" w:cs="仿宋_GB2312"/>
          <w:sz w:val="32"/>
          <w:szCs w:val="32"/>
        </w:rPr>
        <w:t>呈贡区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住房和城乡建设</w:t>
      </w:r>
      <w:r>
        <w:rPr>
          <w:rFonts w:hint="eastAsia" w:ascii="仿宋_GB2312" w:hAnsi="仿宋_GB2312" w:eastAsia="仿宋_GB2312" w:cs="仿宋_GB2312"/>
          <w:sz w:val="32"/>
          <w:szCs w:val="32"/>
        </w:rPr>
        <w:t>局需通过政府购买服务方式，编制评审《昆明市呈贡区住房和城乡建设行业安全生产规划》及修编评审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“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四项</w:t>
      </w:r>
      <w:r>
        <w:rPr>
          <w:rFonts w:hint="eastAsia" w:ascii="仿宋_GB2312" w:hAnsi="仿宋_GB2312" w:eastAsia="仿宋_GB2312" w:cs="仿宋_GB2312"/>
          <w:sz w:val="32"/>
          <w:szCs w:val="32"/>
        </w:rPr>
        <w:t>预案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”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一、预算资金：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万元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二、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预算资金来源：追加预算</w:t>
      </w:r>
      <w:r>
        <w:rPr>
          <w:rFonts w:hint="eastAsia" w:ascii="仿宋_GB2312" w:hAnsi="仿宋_GB2312" w:eastAsia="仿宋_GB2312" w:cs="仿宋_GB2312"/>
          <w:sz w:val="32"/>
          <w:szCs w:val="32"/>
        </w:rPr>
        <w:t>资金。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预算单位编码为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333301001</w:t>
      </w:r>
      <w:r>
        <w:rPr>
          <w:rFonts w:hint="eastAsia" w:ascii="仿宋_GB2312" w:hAnsi="仿宋_GB2312" w:eastAsia="仿宋_GB2312" w:cs="仿宋_GB2312"/>
          <w:sz w:val="32"/>
          <w:szCs w:val="32"/>
        </w:rPr>
        <w:t>，预算功能科目名称为“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2120199其他城乡社区支出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”。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三、购买服务目录：根据《昆明市市本级2018年政府购买服务指导性目录》，目录代码：F0101，目录名称：其他适宜由社会力量承担的服务事项。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四、工作内容和目标要求 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完成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u w:val="none" w:color="000000"/>
          <w:lang w:val="en-US" w:eastAsia="zh-CN"/>
        </w:rPr>
        <w:t>呈贡区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u w:val="none"/>
          <w:lang w:val="en-US" w:eastAsia="zh-CN"/>
        </w:rPr>
        <w:t>住房城乡建设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u w:val="none" w:color="000000"/>
          <w:lang w:val="en-US" w:eastAsia="zh-CN"/>
        </w:rPr>
        <w:t>行业安全生产专项规划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  <w:t>昆明市呈贡区地震应急预案、昆明市呈贡区燃气事故应急预案、昆明市呈贡区建筑工程事故应急预案、昆明市呈贡区应急工程机械保障预案</w:t>
      </w:r>
      <w:r>
        <w:rPr>
          <w:rFonts w:hint="eastAsia" w:ascii="仿宋_GB2312" w:hAnsi="仿宋_GB2312" w:eastAsia="仿宋_GB2312" w:cs="仿宋_GB2312"/>
          <w:sz w:val="32"/>
          <w:szCs w:val="32"/>
        </w:rPr>
        <w:t>编制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并对规划及预案进行评审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提交通过专家评审的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u w:val="none" w:color="000000"/>
          <w:lang w:val="en-US" w:eastAsia="zh-CN"/>
        </w:rPr>
        <w:t>呈贡区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u w:val="none"/>
          <w:lang w:val="en-US" w:eastAsia="zh-CN"/>
        </w:rPr>
        <w:t>住房城乡建设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u w:val="none" w:color="000000"/>
          <w:lang w:val="en-US" w:eastAsia="zh-CN"/>
        </w:rPr>
        <w:t>行业安全生产专项规划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  <w:t>昆明市呈贡区地震应急预案、昆明市呈贡区燃气事故应急预案、昆明市呈贡区建筑工程事故应急预案、昆明市呈贡区应急工程机械保障预案，</w:t>
      </w:r>
      <w:r>
        <w:rPr>
          <w:rFonts w:hint="eastAsia" w:ascii="仿宋_GB2312" w:hAnsi="仿宋_GB2312" w:eastAsia="仿宋_GB2312" w:cs="仿宋_GB2312"/>
          <w:sz w:val="32"/>
          <w:szCs w:val="32"/>
        </w:rPr>
        <w:t>成果包括纸质版文档和相对应的电子版文件，提供最终文本及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套纸质成果资料及光盘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片。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五、承接标准 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经合法注册，能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编制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u w:val="none" w:color="000000"/>
          <w:lang w:val="en-US" w:eastAsia="zh-CN"/>
        </w:rPr>
        <w:t>安全生产专项规划及应急预案</w:t>
      </w:r>
      <w:r>
        <w:rPr>
          <w:rFonts w:hint="eastAsia" w:ascii="仿宋_GB2312" w:hAnsi="仿宋_GB2312" w:eastAsia="仿宋_GB2312" w:cs="仿宋_GB2312"/>
          <w:sz w:val="32"/>
          <w:szCs w:val="32"/>
        </w:rPr>
        <w:t>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专业规划设计编制</w:t>
      </w:r>
      <w:r>
        <w:rPr>
          <w:rFonts w:hint="eastAsia" w:ascii="仿宋_GB2312" w:hAnsi="仿宋_GB2312" w:eastAsia="仿宋_GB2312" w:cs="仿宋_GB2312"/>
          <w:sz w:val="32"/>
          <w:szCs w:val="32"/>
        </w:rPr>
        <w:t>单位，自愿接受委托。</w:t>
      </w:r>
    </w:p>
    <w:p>
      <w:pPr>
        <w:numPr>
          <w:ilvl w:val="0"/>
          <w:numId w:val="1"/>
        </w:num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服务期限</w:t>
      </w:r>
    </w:p>
    <w:p>
      <w:pPr>
        <w:pStyle w:val="14"/>
        <w:widowControl w:val="0"/>
        <w:snapToGrid w:val="0"/>
        <w:spacing w:line="560" w:lineRule="exac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2020年8月31日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前提交初稿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2020年9月中旬前通过专家评审并提交正式文稿。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七、购买方式 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根据《昆明市呈贡区人民政府办公室关于印发&lt;昆明市呈贡区推进政府购买服务的实施意见（暂行）&gt;的通知》（呈政办发〔2016〕97号）等相关文件要求，考虑部门经费预算实际，拟通过部门自行采购方式确定承接主体，按照单位财务内控管理要求办理。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昆明市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呈贡区住房和城乡建设</w:t>
      </w: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4480" w:firstLineChars="14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2020</w:t>
      </w: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23</w:t>
      </w: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(联系人：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陈永康</w:t>
      </w: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 xml:space="preserve">  联系电话：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0871— 67471036</w:t>
      </w: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</w:pPr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wordWrap w:val="0"/>
      <w:jc w:val="right"/>
      <w:rPr>
        <w:rFonts w:ascii="仿宋_GB2312" w:eastAsia="仿宋_GB2312"/>
        <w:sz w:val="28"/>
        <w:szCs w:val="28"/>
      </w:rPr>
    </w:pPr>
    <w:r>
      <w:rPr>
        <w:rFonts w:hint="eastAsia" w:ascii="仿宋_GB2312" w:eastAsia="仿宋_GB2312"/>
        <w:kern w:val="0"/>
        <w:sz w:val="28"/>
        <w:szCs w:val="28"/>
      </w:rPr>
      <w:t xml:space="preserve">— </w:t>
    </w:r>
    <w:r>
      <w:rPr>
        <w:rFonts w:hint="eastAsia" w:ascii="仿宋_GB2312" w:eastAsia="仿宋_GB2312"/>
        <w:kern w:val="0"/>
        <w:sz w:val="28"/>
        <w:szCs w:val="28"/>
      </w:rPr>
      <w:fldChar w:fldCharType="begin"/>
    </w:r>
    <w:r>
      <w:rPr>
        <w:rFonts w:hint="eastAsia" w:ascii="仿宋_GB2312" w:eastAsia="仿宋_GB2312"/>
        <w:kern w:val="0"/>
        <w:sz w:val="28"/>
        <w:szCs w:val="28"/>
      </w:rPr>
      <w:instrText xml:space="preserve"> PAGE </w:instrText>
    </w:r>
    <w:r>
      <w:rPr>
        <w:rFonts w:hint="eastAsia" w:ascii="仿宋_GB2312" w:eastAsia="仿宋_GB2312"/>
        <w:kern w:val="0"/>
        <w:sz w:val="28"/>
        <w:szCs w:val="28"/>
      </w:rPr>
      <w:fldChar w:fldCharType="separate"/>
    </w:r>
    <w:r>
      <w:rPr>
        <w:rFonts w:ascii="仿宋_GB2312" w:eastAsia="仿宋_GB2312"/>
        <w:kern w:val="0"/>
        <w:sz w:val="28"/>
        <w:szCs w:val="28"/>
      </w:rPr>
      <w:t>1</w:t>
    </w:r>
    <w:r>
      <w:rPr>
        <w:rFonts w:hint="eastAsia" w:ascii="仿宋_GB2312" w:eastAsia="仿宋_GB2312"/>
        <w:kern w:val="0"/>
        <w:sz w:val="28"/>
        <w:szCs w:val="28"/>
      </w:rPr>
      <w:fldChar w:fldCharType="end"/>
    </w:r>
    <w:r>
      <w:rPr>
        <w:rFonts w:hint="eastAsia" w:ascii="仿宋_GB2312" w:eastAsia="仿宋_GB2312"/>
        <w:kern w:val="0"/>
        <w:sz w:val="28"/>
        <w:szCs w:val="28"/>
      </w:rPr>
      <w:t xml:space="preserve"> —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firstLine="140" w:firstLineChars="50"/>
      <w:rPr>
        <w:rFonts w:ascii="仿宋_GB2312" w:eastAsia="仿宋_GB2312"/>
        <w:sz w:val="28"/>
        <w:szCs w:val="28"/>
      </w:rPr>
    </w:pPr>
    <w:r>
      <w:rPr>
        <w:rFonts w:hint="eastAsia" w:ascii="仿宋_GB2312" w:eastAsia="仿宋_GB2312"/>
        <w:kern w:val="0"/>
        <w:sz w:val="28"/>
        <w:szCs w:val="28"/>
      </w:rPr>
      <w:t xml:space="preserve">— </w:t>
    </w:r>
    <w:r>
      <w:rPr>
        <w:rFonts w:hint="eastAsia" w:ascii="仿宋_GB2312" w:eastAsia="仿宋_GB2312"/>
        <w:kern w:val="0"/>
        <w:sz w:val="28"/>
        <w:szCs w:val="28"/>
      </w:rPr>
      <w:fldChar w:fldCharType="begin"/>
    </w:r>
    <w:r>
      <w:rPr>
        <w:rFonts w:hint="eastAsia" w:ascii="仿宋_GB2312" w:eastAsia="仿宋_GB2312"/>
        <w:kern w:val="0"/>
        <w:sz w:val="28"/>
        <w:szCs w:val="28"/>
      </w:rPr>
      <w:instrText xml:space="preserve"> PAGE </w:instrText>
    </w:r>
    <w:r>
      <w:rPr>
        <w:rFonts w:hint="eastAsia" w:ascii="仿宋_GB2312" w:eastAsia="仿宋_GB2312"/>
        <w:kern w:val="0"/>
        <w:sz w:val="28"/>
        <w:szCs w:val="28"/>
      </w:rPr>
      <w:fldChar w:fldCharType="separate"/>
    </w:r>
    <w:r>
      <w:rPr>
        <w:rFonts w:ascii="仿宋_GB2312" w:eastAsia="仿宋_GB2312"/>
        <w:kern w:val="0"/>
        <w:sz w:val="28"/>
        <w:szCs w:val="28"/>
      </w:rPr>
      <w:t>2</w:t>
    </w:r>
    <w:r>
      <w:rPr>
        <w:rFonts w:hint="eastAsia" w:ascii="仿宋_GB2312" w:eastAsia="仿宋_GB2312"/>
        <w:kern w:val="0"/>
        <w:sz w:val="28"/>
        <w:szCs w:val="28"/>
      </w:rPr>
      <w:fldChar w:fldCharType="end"/>
    </w:r>
    <w:r>
      <w:rPr>
        <w:rFonts w:hint="eastAsia" w:ascii="仿宋_GB2312" w:eastAsia="仿宋_GB2312"/>
        <w:kern w:val="0"/>
        <w:sz w:val="28"/>
        <w:szCs w:val="28"/>
      </w:rPr>
      <w:t xml:space="preserve"> —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D7762CEF"/>
    <w:multiLevelType w:val="singleLevel"/>
    <w:tmpl w:val="D7762CEF"/>
    <w:lvl w:ilvl="0" w:tentative="0">
      <w:start w:val="6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2DA"/>
    <w:rsid w:val="0007041D"/>
    <w:rsid w:val="000B28A3"/>
    <w:rsid w:val="0014552D"/>
    <w:rsid w:val="00175D7A"/>
    <w:rsid w:val="00225085"/>
    <w:rsid w:val="00296C57"/>
    <w:rsid w:val="00344420"/>
    <w:rsid w:val="003665F0"/>
    <w:rsid w:val="004D60B8"/>
    <w:rsid w:val="00551A5C"/>
    <w:rsid w:val="006C4815"/>
    <w:rsid w:val="0070657B"/>
    <w:rsid w:val="007A3CAB"/>
    <w:rsid w:val="008A391B"/>
    <w:rsid w:val="008D7420"/>
    <w:rsid w:val="00A61EDC"/>
    <w:rsid w:val="00AD0E1B"/>
    <w:rsid w:val="00B21477"/>
    <w:rsid w:val="00B53892"/>
    <w:rsid w:val="00D7290A"/>
    <w:rsid w:val="00E125EC"/>
    <w:rsid w:val="00E642DA"/>
    <w:rsid w:val="00E82402"/>
    <w:rsid w:val="00EC48B1"/>
    <w:rsid w:val="00F6043C"/>
    <w:rsid w:val="00FE704E"/>
    <w:rsid w:val="03AF759B"/>
    <w:rsid w:val="0F757995"/>
    <w:rsid w:val="161D6737"/>
    <w:rsid w:val="191328F5"/>
    <w:rsid w:val="21683DF0"/>
    <w:rsid w:val="228D5FAA"/>
    <w:rsid w:val="27997A0B"/>
    <w:rsid w:val="2F7F5233"/>
    <w:rsid w:val="30491264"/>
    <w:rsid w:val="33A97E3B"/>
    <w:rsid w:val="347D242D"/>
    <w:rsid w:val="37BC7EF3"/>
    <w:rsid w:val="387E1E09"/>
    <w:rsid w:val="3FC95C85"/>
    <w:rsid w:val="4FD7469F"/>
    <w:rsid w:val="54657052"/>
    <w:rsid w:val="54971D43"/>
    <w:rsid w:val="5C0E582A"/>
    <w:rsid w:val="62652EFA"/>
    <w:rsid w:val="68F603F3"/>
    <w:rsid w:val="6D292714"/>
    <w:rsid w:val="6EC4533F"/>
    <w:rsid w:val="757923C0"/>
    <w:rsid w:val="782D5768"/>
    <w:rsid w:val="7E800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0"/>
    <w:pPr>
      <w:spacing w:after="120"/>
      <w:ind w:left="420" w:leftChars="200" w:firstLine="420" w:firstLineChars="200"/>
      <w:jc w:val="both"/>
    </w:pPr>
    <w:rPr>
      <w:rFonts w:ascii="Times New Roman" w:hAnsi="Times New Roman" w:eastAsia="宋体"/>
      <w:sz w:val="21"/>
    </w:rPr>
  </w:style>
  <w:style w:type="paragraph" w:styleId="3">
    <w:name w:val="Body Text Indent"/>
    <w:basedOn w:val="1"/>
    <w:qFormat/>
    <w:uiPriority w:val="0"/>
    <w:pPr>
      <w:ind w:firstLine="560"/>
      <w:jc w:val="left"/>
    </w:pPr>
    <w:rPr>
      <w:rFonts w:ascii="仿宋_GB2312" w:hAnsi="宋体" w:eastAsia="仿宋_GB2312"/>
      <w:sz w:val="28"/>
    </w:rPr>
  </w:style>
  <w:style w:type="paragraph" w:styleId="4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sz w:val="18"/>
      <w:szCs w:val="18"/>
      <w:lang w:val="zh-CN"/>
    </w:rPr>
  </w:style>
  <w:style w:type="paragraph" w:styleId="6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eastAsia="宋体" w:cs="Times New Roman"/>
      <w:sz w:val="18"/>
      <w:szCs w:val="18"/>
      <w:lang w:val="zh-CN"/>
    </w:rPr>
  </w:style>
  <w:style w:type="character" w:customStyle="1" w:styleId="9">
    <w:name w:val="页脚 Char"/>
    <w:basedOn w:val="8"/>
    <w:link w:val="5"/>
    <w:qFormat/>
    <w:uiPriority w:val="0"/>
    <w:rPr>
      <w:rFonts w:ascii="Times New Roman" w:hAnsi="Times New Roman" w:eastAsia="宋体" w:cs="Times New Roman"/>
      <w:sz w:val="18"/>
      <w:szCs w:val="18"/>
      <w:lang w:val="zh-CN" w:eastAsia="zh-CN"/>
    </w:rPr>
  </w:style>
  <w:style w:type="character" w:customStyle="1" w:styleId="10">
    <w:name w:val="页眉 Char"/>
    <w:basedOn w:val="8"/>
    <w:link w:val="6"/>
    <w:qFormat/>
    <w:uiPriority w:val="0"/>
    <w:rPr>
      <w:rFonts w:ascii="Times New Roman" w:hAnsi="Times New Roman" w:eastAsia="宋体" w:cs="Times New Roman"/>
      <w:sz w:val="18"/>
      <w:szCs w:val="18"/>
      <w:lang w:val="zh-CN" w:eastAsia="zh-CN"/>
    </w:rPr>
  </w:style>
  <w:style w:type="character" w:customStyle="1" w:styleId="11">
    <w:name w:val="批注框文本 Char"/>
    <w:basedOn w:val="8"/>
    <w:link w:val="4"/>
    <w:semiHidden/>
    <w:qFormat/>
    <w:uiPriority w:val="99"/>
    <w:rPr>
      <w:sz w:val="18"/>
      <w:szCs w:val="18"/>
    </w:rPr>
  </w:style>
  <w:style w:type="paragraph" w:customStyle="1" w:styleId="12">
    <w:name w:val="p0"/>
    <w:basedOn w:val="1"/>
    <w:qFormat/>
    <w:uiPriority w:val="0"/>
    <w:pPr>
      <w:widowControl/>
    </w:pPr>
    <w:rPr>
      <w:rFonts w:ascii="Times New Roman" w:hAnsi="Times New Roman" w:eastAsia="宋体" w:cs="Times New Roman"/>
      <w:kern w:val="0"/>
      <w:szCs w:val="21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  <w:style w:type="paragraph" w:customStyle="1" w:styleId="14">
    <w:name w:val="普通文字"/>
    <w:basedOn w:val="1"/>
    <w:uiPriority w:val="0"/>
    <w:pPr>
      <w:widowControl/>
      <w:spacing w:line="566" w:lineRule="atLeast"/>
      <w:ind w:firstLine="419"/>
    </w:pPr>
    <w:rPr>
      <w:rFonts w:ascii="宋体"/>
      <w:color w:val="000000"/>
      <w:kern w:val="0"/>
      <w:szCs w:val="20"/>
      <w:u w:val="none" w:color="00000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112</Words>
  <Characters>642</Characters>
  <Lines>5</Lines>
  <Paragraphs>1</Paragraphs>
  <TotalTime>17</TotalTime>
  <ScaleCrop>false</ScaleCrop>
  <LinksUpToDate>false</LinksUpToDate>
  <CharactersWithSpaces>753</CharactersWithSpaces>
  <Application>WPS Office_11.1.0.9828_F1E327BC-269C-435d-A152-05C5408002CA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2019-04-26T07:42:00Z</dcterms:created>
  <dc:creator>刁攀红</dc:creator>
  <cp:lastModifiedBy>lenovo</cp:lastModifiedBy>
  <cp:lastPrinted>2020-07-23T05:29:00Z</cp:lastPrinted>
  <dcterms:modified xsi:type="dcterms:W3CDTF">2020-07-23T08:10:51Z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