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utlineLvl w:val="0"/>
        <w:rPr>
          <w:rFonts w:hint="eastAsia" w:ascii="仿宋_GB2312" w:hAnsi="仿宋_GB2312" w:eastAsia="仿宋_GB2312" w:cs="仿宋_GB2312"/>
          <w:sz w:val="30"/>
          <w:szCs w:val="30"/>
          <w:lang w:val="zh-TW"/>
        </w:rPr>
      </w:pPr>
    </w:p>
    <w:p>
      <w:pPr>
        <w:spacing w:line="600" w:lineRule="exact"/>
        <w:jc w:val="center"/>
        <w:rPr>
          <w:rFonts w:ascii="方正小标宋_GBK" w:eastAsia="方正小标宋_GBK"/>
          <w:sz w:val="36"/>
          <w:szCs w:val="36"/>
        </w:rPr>
      </w:pPr>
      <w:r>
        <w:rPr>
          <w:rFonts w:hint="eastAsia" w:ascii="方正小标宋_GBK" w:eastAsia="方正小标宋_GBK"/>
          <w:sz w:val="36"/>
          <w:szCs w:val="36"/>
        </w:rPr>
        <w:t>部门整体支出绩效评价报告（参考提纲）</w:t>
      </w:r>
    </w:p>
    <w:p>
      <w:pPr>
        <w:keepNext w:val="0"/>
        <w:keepLines w:val="0"/>
        <w:pageBreakBefore w:val="0"/>
        <w:widowControl w:val="0"/>
        <w:kinsoku/>
        <w:wordWrap/>
        <w:overflowPunct/>
        <w:topLinePunct w:val="0"/>
        <w:autoSpaceDE/>
        <w:autoSpaceDN/>
        <w:bidi w:val="0"/>
        <w:adjustRightInd/>
        <w:snapToGrid/>
        <w:ind w:firstLine="554" w:firstLineChars="200"/>
        <w:textAlignment w:val="auto"/>
        <w:outlineLvl w:val="9"/>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ind w:firstLine="554" w:firstLineChars="200"/>
        <w:textAlignment w:val="auto"/>
        <w:outlineLvl w:val="9"/>
        <w:rPr>
          <w:rFonts w:hint="eastAsia" w:ascii="黑体" w:hAnsi="黑体" w:eastAsia="黑体" w:cs="黑体"/>
        </w:rPr>
      </w:pPr>
      <w:r>
        <w:rPr>
          <w:rFonts w:hint="eastAsia" w:ascii="黑体" w:hAnsi="黑体" w:eastAsia="黑体" w:cs="黑体"/>
        </w:rPr>
        <w:t>一、基本情况</w:t>
      </w:r>
    </w:p>
    <w:p>
      <w:pPr>
        <w:keepNext w:val="0"/>
        <w:keepLines w:val="0"/>
        <w:pageBreakBefore w:val="0"/>
        <w:widowControl w:val="0"/>
        <w:kinsoku/>
        <w:wordWrap/>
        <w:overflowPunct/>
        <w:topLinePunct w:val="0"/>
        <w:autoSpaceDE/>
        <w:autoSpaceDN/>
        <w:bidi w:val="0"/>
        <w:adjustRightInd/>
        <w:snapToGrid/>
        <w:ind w:firstLine="554" w:firstLineChars="200"/>
        <w:textAlignment w:val="auto"/>
        <w:outlineLvl w:val="9"/>
        <w:rPr>
          <w:rFonts w:hint="eastAsia" w:ascii="仿宋_GB2312" w:hAnsi="仿宋_GB2312" w:eastAsia="仿宋_GB2312" w:cs="仿宋_GB2312"/>
        </w:rPr>
      </w:pPr>
      <w:r>
        <w:rPr>
          <w:rFonts w:hint="eastAsia" w:ascii="仿宋_GB2312" w:hAnsi="仿宋_GB2312" w:eastAsia="仿宋_GB2312" w:cs="仿宋_GB2312"/>
        </w:rPr>
        <w:t>（一）部门整体支出概况，年</w:t>
      </w:r>
      <w:r>
        <w:rPr>
          <w:rFonts w:hint="eastAsia" w:ascii="仿宋_GB2312" w:hAnsi="仿宋_GB2312" w:eastAsia="仿宋_GB2312" w:cs="仿宋_GB2312"/>
          <w:lang w:eastAsia="zh-CN"/>
        </w:rPr>
        <w:t>度</w:t>
      </w:r>
      <w:r>
        <w:rPr>
          <w:rFonts w:hint="eastAsia" w:ascii="仿宋_GB2312" w:hAnsi="仿宋_GB2312" w:eastAsia="仿宋_GB2312" w:cs="仿宋_GB2312"/>
        </w:rPr>
        <w:t>部门决算收支完成情况，包括收入构成、支出构成、年初预算完成率、当年收支平衡和年终结转结余情况</w:t>
      </w:r>
      <w:r>
        <w:rPr>
          <w:rFonts w:hint="eastAsia" w:ascii="仿宋_GB2312" w:hAnsi="仿宋_GB2312" w:eastAsia="仿宋_GB2312" w:cs="仿宋_GB2312"/>
          <w:lang w:eastAsia="zh-CN"/>
        </w:rPr>
        <w:t>、</w:t>
      </w:r>
      <w:r>
        <w:rPr>
          <w:rFonts w:hint="eastAsia" w:ascii="仿宋_GB2312" w:hAnsi="仿宋_GB2312" w:eastAsia="仿宋_GB2312" w:cs="仿宋_GB2312"/>
        </w:rPr>
        <w:t>政府采购情况</w:t>
      </w:r>
      <w:r>
        <w:rPr>
          <w:rFonts w:hint="eastAsia" w:ascii="仿宋_GB2312" w:hAnsi="仿宋_GB2312" w:eastAsia="仿宋_GB2312" w:cs="仿宋_GB2312"/>
          <w:lang w:eastAsia="zh-CN"/>
        </w:rPr>
        <w:t>、</w:t>
      </w:r>
      <w:r>
        <w:rPr>
          <w:rFonts w:hint="eastAsia" w:ascii="仿宋_GB2312" w:hAnsi="仿宋_GB2312" w:eastAsia="仿宋_GB2312" w:cs="仿宋_GB2312"/>
        </w:rPr>
        <w:t>固定资产情况等。</w:t>
      </w:r>
    </w:p>
    <w:p>
      <w:pPr>
        <w:keepNext w:val="0"/>
        <w:keepLines w:val="0"/>
        <w:pageBreakBefore w:val="0"/>
        <w:widowControl w:val="0"/>
        <w:kinsoku/>
        <w:wordWrap/>
        <w:overflowPunct/>
        <w:topLinePunct w:val="0"/>
        <w:autoSpaceDE/>
        <w:autoSpaceDN/>
        <w:bidi w:val="0"/>
        <w:adjustRightInd/>
        <w:snapToGrid/>
        <w:ind w:firstLine="554" w:firstLineChars="200"/>
        <w:textAlignment w:val="auto"/>
        <w:outlineLvl w:val="9"/>
        <w:rPr>
          <w:rFonts w:hint="eastAsia" w:ascii="仿宋_GB2312" w:hAnsi="仿宋_GB2312" w:eastAsia="仿宋_GB2312" w:cs="仿宋_GB2312"/>
        </w:rPr>
      </w:pPr>
      <w:r>
        <w:rPr>
          <w:rFonts w:hint="eastAsia" w:ascii="仿宋_GB2312" w:hAnsi="仿宋_GB2312" w:eastAsia="仿宋_GB2312" w:cs="仿宋_GB2312"/>
        </w:rPr>
        <w:t>（二）部门整体支出绩效目标，主要包括区委、区政府或上级主管部门绩效考核的个性指标、预决算公开、存量资金管理、资产管理、三公经费控制、内部管理制度建设等的设定及完成情况，项目绩效总目标和阶段性</w:t>
      </w:r>
      <w:r>
        <w:rPr>
          <w:rFonts w:hint="eastAsia" w:ascii="仿宋_GB2312" w:hAnsi="仿宋_GB2312" w:cs="仿宋_GB2312"/>
          <w:lang w:eastAsia="zh-CN"/>
        </w:rPr>
        <w:t>（年度）</w:t>
      </w:r>
      <w:r>
        <w:rPr>
          <w:rFonts w:hint="eastAsia" w:ascii="仿宋_GB2312" w:hAnsi="仿宋_GB2312" w:eastAsia="仿宋_GB2312" w:cs="仿宋_GB2312"/>
        </w:rPr>
        <w:t>目标完成情况及预期经济、社会效益等。</w:t>
      </w:r>
    </w:p>
    <w:p>
      <w:pPr>
        <w:keepNext w:val="0"/>
        <w:keepLines w:val="0"/>
        <w:pageBreakBefore w:val="0"/>
        <w:widowControl w:val="0"/>
        <w:kinsoku/>
        <w:wordWrap/>
        <w:overflowPunct/>
        <w:topLinePunct w:val="0"/>
        <w:autoSpaceDE/>
        <w:autoSpaceDN/>
        <w:bidi w:val="0"/>
        <w:adjustRightInd/>
        <w:snapToGrid/>
        <w:ind w:firstLine="554" w:firstLineChars="200"/>
        <w:textAlignment w:val="auto"/>
        <w:outlineLvl w:val="9"/>
        <w:rPr>
          <w:rFonts w:hint="eastAsia" w:ascii="仿宋_GB2312" w:hAnsi="仿宋_GB2312" w:eastAsia="仿宋_GB2312" w:cs="仿宋_GB2312"/>
        </w:rPr>
      </w:pPr>
      <w:r>
        <w:rPr>
          <w:rFonts w:hint="eastAsia" w:ascii="仿宋_GB2312" w:hAnsi="仿宋_GB2312" w:eastAsia="仿宋_GB2312" w:cs="仿宋_GB2312"/>
        </w:rPr>
        <w:t>（三）部门整体支出或项目实施情况分析，主要包括资金到位、资金使用、资金管理、项目组织和项目管理情况分析等。</w:t>
      </w:r>
    </w:p>
    <w:p>
      <w:pPr>
        <w:keepNext w:val="0"/>
        <w:keepLines w:val="0"/>
        <w:pageBreakBefore w:val="0"/>
        <w:widowControl w:val="0"/>
        <w:kinsoku/>
        <w:wordWrap/>
        <w:overflowPunct/>
        <w:topLinePunct w:val="0"/>
        <w:autoSpaceDE/>
        <w:autoSpaceDN/>
        <w:bidi w:val="0"/>
        <w:adjustRightInd/>
        <w:snapToGrid/>
        <w:ind w:firstLine="554" w:firstLineChars="200"/>
        <w:textAlignment w:val="auto"/>
        <w:outlineLvl w:val="9"/>
        <w:rPr>
          <w:rFonts w:hint="eastAsia" w:ascii="仿宋_GB2312" w:hAnsi="仿宋_GB2312" w:eastAsia="仿宋_GB2312" w:cs="仿宋_GB2312"/>
        </w:rPr>
      </w:pPr>
      <w:r>
        <w:rPr>
          <w:rFonts w:hint="eastAsia" w:ascii="黑体" w:hAnsi="黑体" w:eastAsia="黑体" w:cs="黑体"/>
        </w:rPr>
        <w:t>二、绩效评价工作情况</w:t>
      </w:r>
    </w:p>
    <w:p>
      <w:pPr>
        <w:keepNext w:val="0"/>
        <w:keepLines w:val="0"/>
        <w:pageBreakBefore w:val="0"/>
        <w:widowControl w:val="0"/>
        <w:kinsoku/>
        <w:wordWrap/>
        <w:overflowPunct/>
        <w:topLinePunct w:val="0"/>
        <w:autoSpaceDE/>
        <w:autoSpaceDN/>
        <w:bidi w:val="0"/>
        <w:adjustRightInd/>
        <w:snapToGrid/>
        <w:ind w:firstLine="554" w:firstLineChars="200"/>
        <w:textAlignment w:val="auto"/>
        <w:outlineLvl w:val="9"/>
        <w:rPr>
          <w:rFonts w:hint="eastAsia" w:ascii="仿宋_GB2312" w:hAnsi="仿宋_GB2312" w:eastAsia="仿宋_GB2312" w:cs="仿宋_GB2312"/>
        </w:rPr>
      </w:pPr>
      <w:r>
        <w:rPr>
          <w:rFonts w:hint="eastAsia" w:ascii="仿宋_GB2312" w:hAnsi="仿宋_GB2312" w:eastAsia="仿宋_GB2312" w:cs="仿宋_GB2312"/>
        </w:rPr>
        <w:t>（一）绩效评价目的。</w:t>
      </w:r>
    </w:p>
    <w:p>
      <w:pPr>
        <w:keepNext w:val="0"/>
        <w:keepLines w:val="0"/>
        <w:pageBreakBefore w:val="0"/>
        <w:widowControl w:val="0"/>
        <w:kinsoku/>
        <w:wordWrap/>
        <w:overflowPunct/>
        <w:topLinePunct w:val="0"/>
        <w:autoSpaceDE/>
        <w:autoSpaceDN/>
        <w:bidi w:val="0"/>
        <w:adjustRightInd/>
        <w:snapToGrid/>
        <w:ind w:firstLine="554" w:firstLineChars="200"/>
        <w:textAlignment w:val="auto"/>
        <w:outlineLvl w:val="9"/>
        <w:rPr>
          <w:rFonts w:hint="eastAsia" w:ascii="仿宋_GB2312" w:hAnsi="仿宋_GB2312" w:eastAsia="仿宋_GB2312" w:cs="仿宋_GB2312"/>
        </w:rPr>
      </w:pPr>
      <w:r>
        <w:rPr>
          <w:rFonts w:hint="eastAsia" w:ascii="仿宋_GB2312" w:hAnsi="仿宋_GB2312" w:eastAsia="仿宋_GB2312" w:cs="仿宋_GB2312"/>
        </w:rPr>
        <w:t>（二）绩效评价工作过程，主要包括前期准备、组织实施和分析评价等内容。</w:t>
      </w:r>
    </w:p>
    <w:p>
      <w:pPr>
        <w:keepNext w:val="0"/>
        <w:keepLines w:val="0"/>
        <w:pageBreakBefore w:val="0"/>
        <w:widowControl w:val="0"/>
        <w:kinsoku/>
        <w:wordWrap/>
        <w:overflowPunct/>
        <w:topLinePunct w:val="0"/>
        <w:autoSpaceDE/>
        <w:autoSpaceDN/>
        <w:bidi w:val="0"/>
        <w:adjustRightInd/>
        <w:snapToGrid/>
        <w:ind w:firstLine="554" w:firstLineChars="200"/>
        <w:textAlignment w:val="auto"/>
        <w:outlineLvl w:val="9"/>
        <w:rPr>
          <w:rFonts w:hint="eastAsia" w:ascii="仿宋_GB2312" w:hAnsi="仿宋_GB2312" w:eastAsia="仿宋_GB2312" w:cs="仿宋_GB2312"/>
        </w:rPr>
      </w:pPr>
      <w:r>
        <w:rPr>
          <w:rFonts w:hint="eastAsia" w:ascii="黑体" w:hAnsi="黑体" w:eastAsia="黑体" w:cs="黑体"/>
        </w:rPr>
        <w:t>三、主要绩效及评价结论</w:t>
      </w:r>
    </w:p>
    <w:p>
      <w:pPr>
        <w:keepNext w:val="0"/>
        <w:keepLines w:val="0"/>
        <w:pageBreakBefore w:val="0"/>
        <w:widowControl w:val="0"/>
        <w:kinsoku/>
        <w:wordWrap/>
        <w:overflowPunct/>
        <w:topLinePunct w:val="0"/>
        <w:autoSpaceDE/>
        <w:autoSpaceDN/>
        <w:bidi w:val="0"/>
        <w:adjustRightInd/>
        <w:snapToGrid/>
        <w:ind w:firstLine="554" w:firstLineChars="200"/>
        <w:textAlignment w:val="auto"/>
        <w:outlineLvl w:val="9"/>
        <w:rPr>
          <w:rFonts w:hint="eastAsia" w:ascii="仿宋_GB2312" w:hAnsi="仿宋_GB2312" w:eastAsia="仿宋_GB2312" w:cs="仿宋_GB2312"/>
        </w:rPr>
      </w:pPr>
      <w:r>
        <w:rPr>
          <w:rFonts w:hint="eastAsia" w:ascii="仿宋_GB2312" w:hAnsi="仿宋_GB2312" w:cs="仿宋_GB2312"/>
          <w:lang w:eastAsia="zh-CN"/>
        </w:rPr>
        <w:t>（一）</w:t>
      </w:r>
      <w:r>
        <w:rPr>
          <w:rFonts w:hint="eastAsia" w:ascii="仿宋_GB2312" w:hAnsi="仿宋_GB2312" w:eastAsia="仿宋_GB2312" w:cs="仿宋_GB2312"/>
        </w:rPr>
        <w:t>经济性分析，主要包括成本（预算）控制情况和成本（预算）节约情况。</w:t>
      </w:r>
    </w:p>
    <w:p>
      <w:pPr>
        <w:keepNext w:val="0"/>
        <w:keepLines w:val="0"/>
        <w:pageBreakBefore w:val="0"/>
        <w:widowControl w:val="0"/>
        <w:kinsoku/>
        <w:wordWrap/>
        <w:overflowPunct/>
        <w:topLinePunct w:val="0"/>
        <w:autoSpaceDE/>
        <w:autoSpaceDN/>
        <w:bidi w:val="0"/>
        <w:adjustRightInd/>
        <w:snapToGrid/>
        <w:ind w:firstLine="554" w:firstLineChars="200"/>
        <w:textAlignment w:val="auto"/>
        <w:outlineLvl w:val="9"/>
        <w:rPr>
          <w:rFonts w:hint="eastAsia" w:ascii="仿宋_GB2312" w:hAnsi="仿宋_GB2312" w:eastAsia="仿宋_GB2312" w:cs="仿宋_GB2312"/>
        </w:rPr>
      </w:pPr>
      <w:r>
        <w:rPr>
          <w:rFonts w:hint="eastAsia" w:ascii="仿宋_GB2312" w:hAnsi="仿宋_GB2312" w:cs="仿宋_GB2312"/>
          <w:lang w:eastAsia="zh-CN"/>
        </w:rPr>
        <w:t>（二）</w:t>
      </w:r>
      <w:r>
        <w:rPr>
          <w:rFonts w:hint="eastAsia" w:ascii="仿宋_GB2312" w:hAnsi="仿宋_GB2312" w:eastAsia="仿宋_GB2312" w:cs="仿宋_GB2312"/>
        </w:rPr>
        <w:t>效率性分析，主要包括实施进度和完成质量。</w:t>
      </w:r>
    </w:p>
    <w:p>
      <w:pPr>
        <w:keepNext w:val="0"/>
        <w:keepLines w:val="0"/>
        <w:pageBreakBefore w:val="0"/>
        <w:widowControl w:val="0"/>
        <w:kinsoku/>
        <w:wordWrap/>
        <w:overflowPunct/>
        <w:topLinePunct w:val="0"/>
        <w:autoSpaceDE/>
        <w:autoSpaceDN/>
        <w:bidi w:val="0"/>
        <w:adjustRightInd/>
        <w:snapToGrid/>
        <w:ind w:firstLine="554" w:firstLineChars="200"/>
        <w:textAlignment w:val="auto"/>
        <w:outlineLvl w:val="9"/>
        <w:rPr>
          <w:rFonts w:hint="eastAsia" w:ascii="仿宋_GB2312" w:hAnsi="仿宋_GB2312" w:eastAsia="仿宋_GB2312" w:cs="仿宋_GB2312"/>
        </w:rPr>
      </w:pPr>
      <w:r>
        <w:rPr>
          <w:rFonts w:hint="eastAsia" w:ascii="仿宋_GB2312" w:hAnsi="仿宋_GB2312" w:cs="仿宋_GB2312"/>
          <w:lang w:eastAsia="zh-CN"/>
        </w:rPr>
        <w:t>（三）</w:t>
      </w:r>
      <w:r>
        <w:rPr>
          <w:rFonts w:hint="eastAsia" w:ascii="仿宋_GB2312" w:hAnsi="仿宋_GB2312" w:eastAsia="仿宋_GB2312" w:cs="仿宋_GB2312"/>
        </w:rPr>
        <w:t>效益性分析，主要包括预期目标完成程度和对经济和社会的影响等。</w:t>
      </w:r>
    </w:p>
    <w:p>
      <w:pPr>
        <w:keepNext w:val="0"/>
        <w:keepLines w:val="0"/>
        <w:pageBreakBefore w:val="0"/>
        <w:widowControl w:val="0"/>
        <w:kinsoku/>
        <w:wordWrap/>
        <w:overflowPunct/>
        <w:topLinePunct w:val="0"/>
        <w:autoSpaceDE/>
        <w:autoSpaceDN/>
        <w:bidi w:val="0"/>
        <w:adjustRightInd/>
        <w:snapToGrid/>
        <w:ind w:firstLine="554" w:firstLineChars="200"/>
        <w:textAlignment w:val="auto"/>
        <w:outlineLvl w:val="9"/>
        <w:rPr>
          <w:rFonts w:hint="eastAsia" w:ascii="仿宋_GB2312" w:hAnsi="仿宋_GB2312" w:eastAsia="仿宋_GB2312" w:cs="仿宋_GB2312"/>
        </w:rPr>
      </w:pPr>
      <w:r>
        <w:rPr>
          <w:rFonts w:hint="eastAsia" w:ascii="仿宋_GB2312" w:hAnsi="仿宋_GB2312" w:eastAsia="仿宋_GB2312" w:cs="仿宋_GB2312"/>
        </w:rPr>
        <w:t>关于绩效情况的分析既可从以上三个方面进行归纳，也可以把以上三个方面的内容融入到实施取得的显著成效中进行说明。</w:t>
      </w:r>
    </w:p>
    <w:p>
      <w:pPr>
        <w:ind w:firstLine="554" w:firstLineChars="200"/>
        <w:outlineLvl w:val="0"/>
        <w:rPr>
          <w:rFonts w:hint="eastAsia" w:ascii="仿宋_GB2312" w:hAnsi="仿宋_GB2312" w:cs="仿宋_GB2312"/>
          <w:sz w:val="30"/>
          <w:szCs w:val="30"/>
          <w:lang w:eastAsia="zh-CN"/>
        </w:rPr>
      </w:pPr>
      <w:r>
        <w:rPr>
          <w:rFonts w:hint="eastAsia" w:ascii="仿宋_GB2312" w:hAnsi="仿宋_GB2312" w:cs="仿宋_GB2312"/>
          <w:sz w:val="30"/>
          <w:szCs w:val="30"/>
          <w:lang w:val="en-US" w:eastAsia="zh-CN"/>
        </w:rPr>
        <w:t>（四）部门</w:t>
      </w:r>
      <w:r>
        <w:rPr>
          <w:rFonts w:hint="eastAsia" w:ascii="仿宋_GB2312" w:hAnsi="仿宋_GB2312" w:cs="仿宋_GB2312"/>
          <w:sz w:val="30"/>
          <w:szCs w:val="30"/>
          <w:lang w:eastAsia="zh-CN"/>
        </w:rPr>
        <w:t>财务管理规范性分析。</w:t>
      </w:r>
    </w:p>
    <w:p>
      <w:pPr>
        <w:ind w:firstLine="554" w:firstLineChars="200"/>
        <w:outlineLvl w:val="0"/>
        <w:rPr>
          <w:rFonts w:hint="eastAsia" w:ascii="仿宋_GB2312" w:hAnsi="仿宋_GB2312" w:cs="仿宋_GB2312"/>
          <w:sz w:val="30"/>
          <w:szCs w:val="30"/>
          <w:lang w:eastAsia="zh-CN"/>
        </w:rPr>
      </w:pPr>
      <w:r>
        <w:rPr>
          <w:rFonts w:hint="eastAsia" w:ascii="仿宋_GB2312" w:hAnsi="仿宋_GB2312" w:cs="仿宋_GB2312"/>
          <w:sz w:val="30"/>
          <w:szCs w:val="30"/>
          <w:lang w:eastAsia="zh-CN"/>
        </w:rPr>
        <w:t>（五）访谈及问卷调查情况。</w:t>
      </w:r>
    </w:p>
    <w:p>
      <w:pPr>
        <w:keepNext w:val="0"/>
        <w:keepLines w:val="0"/>
        <w:pageBreakBefore w:val="0"/>
        <w:widowControl w:val="0"/>
        <w:kinsoku/>
        <w:wordWrap/>
        <w:overflowPunct/>
        <w:topLinePunct w:val="0"/>
        <w:autoSpaceDE/>
        <w:autoSpaceDN/>
        <w:bidi w:val="0"/>
        <w:adjustRightInd/>
        <w:snapToGrid/>
        <w:ind w:firstLine="554" w:firstLineChars="200"/>
        <w:textAlignment w:val="auto"/>
        <w:outlineLvl w:val="9"/>
        <w:rPr>
          <w:rFonts w:hint="eastAsia" w:ascii="仿宋_GB2312" w:hAnsi="仿宋_GB2312" w:eastAsia="仿宋_GB2312" w:cs="仿宋_GB2312"/>
          <w:lang w:eastAsia="zh-CN"/>
        </w:rPr>
      </w:pPr>
      <w:r>
        <w:rPr>
          <w:rFonts w:hint="eastAsia" w:ascii="黑体" w:hAnsi="黑体" w:eastAsia="黑体" w:cs="黑体"/>
        </w:rPr>
        <w:t>四、存在问题</w:t>
      </w:r>
      <w:r>
        <w:rPr>
          <w:rFonts w:hint="eastAsia" w:ascii="黑体" w:hAnsi="黑体" w:eastAsia="黑体" w:cs="黑体"/>
          <w:lang w:eastAsia="zh-CN"/>
        </w:rPr>
        <w:t>及建议</w:t>
      </w:r>
    </w:p>
    <w:p>
      <w:pPr>
        <w:keepNext w:val="0"/>
        <w:keepLines w:val="0"/>
        <w:pageBreakBefore w:val="0"/>
        <w:widowControl w:val="0"/>
        <w:kinsoku/>
        <w:wordWrap/>
        <w:overflowPunct/>
        <w:topLinePunct w:val="0"/>
        <w:autoSpaceDE/>
        <w:autoSpaceDN/>
        <w:bidi w:val="0"/>
        <w:adjustRightInd/>
        <w:snapToGrid/>
        <w:ind w:firstLine="554" w:firstLineChars="200"/>
        <w:textAlignment w:val="auto"/>
        <w:outlineLvl w:val="9"/>
        <w:rPr>
          <w:rFonts w:hint="eastAsia" w:ascii="黑体" w:hAnsi="黑体" w:eastAsia="黑体" w:cs="黑体"/>
        </w:rPr>
      </w:pPr>
      <w:r>
        <w:rPr>
          <w:rFonts w:hint="eastAsia" w:ascii="黑体" w:hAnsi="黑体" w:eastAsia="黑体" w:cs="黑体"/>
        </w:rPr>
        <w:t>五、其他需要说明的问题</w:t>
      </w:r>
    </w:p>
    <w:p>
      <w:pPr>
        <w:ind w:firstLine="554" w:firstLineChars="200"/>
        <w:jc w:val="both"/>
        <w:outlineLvl w:val="0"/>
        <w:rPr>
          <w:rFonts w:hint="default" w:ascii="仿宋_GB2312" w:hAnsi="仿宋_GB2312" w:cs="仿宋_GB2312"/>
          <w:color w:val="auto"/>
          <w:sz w:val="30"/>
          <w:szCs w:val="30"/>
          <w:highlight w:val="yellow"/>
          <w:lang w:val="en-US" w:eastAsia="zh-CN"/>
        </w:rPr>
      </w:pPr>
      <w:r>
        <w:rPr>
          <w:rFonts w:hint="eastAsia" w:ascii="仿宋_GB2312" w:hAnsi="仿宋_GB2312" w:cs="仿宋_GB2312"/>
          <w:color w:val="auto"/>
          <w:sz w:val="30"/>
          <w:szCs w:val="30"/>
          <w:highlight w:val="yellow"/>
          <w:lang w:eastAsia="zh-CN"/>
        </w:rPr>
        <w:t>依据《昆明市呈贡区政府购买服务第三方绩效评价工作实施方案》（呈财〔2019〕40号），对政府购买服务行为的经济性、规范性、效率性、公平性等情况进行评价、说明。</w:t>
      </w:r>
    </w:p>
    <w:p>
      <w:pPr>
        <w:keepNext w:val="0"/>
        <w:keepLines w:val="0"/>
        <w:pageBreakBefore w:val="0"/>
        <w:widowControl w:val="0"/>
        <w:kinsoku/>
        <w:wordWrap/>
        <w:overflowPunct/>
        <w:topLinePunct w:val="0"/>
        <w:autoSpaceDE/>
        <w:autoSpaceDN/>
        <w:bidi w:val="0"/>
        <w:adjustRightInd/>
        <w:snapToGrid/>
        <w:ind w:firstLine="554" w:firstLineChars="200"/>
        <w:textAlignment w:val="auto"/>
        <w:outlineLvl w:val="9"/>
        <w:rPr>
          <w:rFonts w:hint="eastAsia" w:ascii="仿宋_GB2312" w:hAnsi="仿宋_GB2312" w:eastAsia="仿宋_GB2312" w:cs="仿宋_GB2312"/>
          <w:lang w:val="zh-CN"/>
        </w:rPr>
      </w:pPr>
    </w:p>
    <w:p>
      <w:pPr>
        <w:keepNext w:val="0"/>
        <w:keepLines w:val="0"/>
        <w:pageBreakBefore w:val="0"/>
        <w:widowControl w:val="0"/>
        <w:kinsoku/>
        <w:wordWrap/>
        <w:overflowPunct/>
        <w:topLinePunct w:val="0"/>
        <w:autoSpaceDE/>
        <w:autoSpaceDN/>
        <w:bidi w:val="0"/>
        <w:adjustRightInd/>
        <w:snapToGrid/>
        <w:ind w:firstLine="554" w:firstLineChars="200"/>
        <w:textAlignment w:val="auto"/>
        <w:outlineLvl w:val="9"/>
        <w:rPr>
          <w:rFonts w:hint="eastAsia" w:ascii="仿宋_GB2312" w:hAnsi="仿宋_GB2312" w:eastAsia="仿宋_GB2312" w:cs="仿宋_GB2312"/>
          <w:lang w:val="zh-CN"/>
        </w:rPr>
      </w:pPr>
      <w:r>
        <w:rPr>
          <w:rFonts w:hint="eastAsia" w:ascii="仿宋_GB2312" w:hAnsi="仿宋_GB2312" w:eastAsia="仿宋_GB2312" w:cs="仿宋_GB2312"/>
          <w:lang w:val="zh-CN"/>
        </w:rPr>
        <w:t>相关附件</w:t>
      </w:r>
      <w:bookmarkStart w:id="0" w:name="_GoBack"/>
      <w:bookmarkEnd w:id="0"/>
    </w:p>
    <w:p>
      <w:pPr>
        <w:ind w:firstLine="554" w:firstLineChars="200"/>
        <w:outlineLvl w:val="0"/>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lang w:val="zh-CN"/>
        </w:rPr>
        <w:t>（一）</w:t>
      </w:r>
      <w:r>
        <w:rPr>
          <w:rFonts w:hint="eastAsia" w:ascii="仿宋_GB2312" w:hAnsi="仿宋_GB2312" w:cs="仿宋_GB2312"/>
          <w:sz w:val="30"/>
          <w:szCs w:val="30"/>
          <w:lang w:val="zh-CN"/>
        </w:rPr>
        <w:t>评价</w:t>
      </w:r>
      <w:r>
        <w:rPr>
          <w:rFonts w:hint="eastAsia" w:ascii="仿宋_GB2312" w:hAnsi="仿宋_GB2312" w:eastAsia="仿宋_GB2312" w:cs="仿宋_GB2312"/>
          <w:sz w:val="30"/>
          <w:szCs w:val="30"/>
          <w:lang w:val="zh-CN"/>
        </w:rPr>
        <w:t>指标体系及评分</w:t>
      </w:r>
      <w:r>
        <w:rPr>
          <w:rFonts w:hint="eastAsia" w:ascii="仿宋_GB2312" w:hAnsi="仿宋_GB2312" w:eastAsia="仿宋_GB2312" w:cs="仿宋_GB2312"/>
          <w:sz w:val="30"/>
          <w:szCs w:val="30"/>
          <w:lang w:val="zh-CN"/>
        </w:rPr>
        <w:tab/>
      </w:r>
    </w:p>
    <w:p>
      <w:pPr>
        <w:ind w:firstLine="554" w:firstLineChars="200"/>
        <w:outlineLvl w:val="0"/>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lang w:val="zh-CN"/>
        </w:rPr>
        <w:t>（二）评价人员</w:t>
      </w:r>
    </w:p>
    <w:p>
      <w:pPr>
        <w:ind w:firstLine="554" w:firstLineChars="200"/>
        <w:outlineLvl w:val="0"/>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lang w:val="zh-CN"/>
        </w:rPr>
        <w:t>（三）基础数据表</w:t>
      </w:r>
    </w:p>
    <w:p>
      <w:pPr>
        <w:ind w:firstLine="554" w:firstLineChars="200"/>
        <w:outlineLvl w:val="0"/>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lang w:val="zh-CN"/>
        </w:rPr>
        <w:t>（四）问卷调查</w:t>
      </w:r>
      <w:r>
        <w:rPr>
          <w:rFonts w:hint="eastAsia" w:ascii="仿宋_GB2312" w:hAnsi="仿宋_GB2312" w:cs="仿宋_GB2312"/>
          <w:sz w:val="30"/>
          <w:szCs w:val="30"/>
          <w:lang w:val="zh-CN"/>
        </w:rPr>
        <w:t>表</w:t>
      </w:r>
    </w:p>
    <w:p>
      <w:pPr>
        <w:ind w:firstLine="554" w:firstLineChars="200"/>
        <w:outlineLvl w:val="0"/>
        <w:rPr>
          <w:rFonts w:hint="eastAsia" w:ascii="仿宋_GB2312" w:hAnsi="仿宋_GB2312" w:eastAsia="仿宋_GB2312" w:cs="仿宋_GB2312"/>
          <w:sz w:val="30"/>
          <w:szCs w:val="30"/>
          <w:lang w:val="zh-TW"/>
        </w:rPr>
      </w:pPr>
      <w:r>
        <w:rPr>
          <w:rFonts w:hint="eastAsia" w:ascii="仿宋_GB2312" w:hAnsi="仿宋_GB2312" w:eastAsia="仿宋_GB2312" w:cs="仿宋_GB2312"/>
          <w:sz w:val="30"/>
          <w:szCs w:val="30"/>
          <w:lang w:val="zh-CN"/>
        </w:rPr>
        <w:t>（五）</w:t>
      </w:r>
      <w:r>
        <w:rPr>
          <w:rFonts w:hint="eastAsia" w:ascii="仿宋_GB2312" w:hAnsi="仿宋_GB2312" w:eastAsia="仿宋_GB2312" w:cs="仿宋_GB2312"/>
          <w:sz w:val="30"/>
          <w:szCs w:val="30"/>
          <w:lang w:val="zh-TW"/>
        </w:rPr>
        <w:t>……</w:t>
      </w:r>
    </w:p>
    <w:p>
      <w:pPr>
        <w:keepNext w:val="0"/>
        <w:keepLines w:val="0"/>
        <w:pageBreakBefore w:val="0"/>
        <w:widowControl w:val="0"/>
        <w:kinsoku/>
        <w:wordWrap/>
        <w:overflowPunct/>
        <w:topLinePunct w:val="0"/>
        <w:autoSpaceDE/>
        <w:autoSpaceDN/>
        <w:bidi w:val="0"/>
        <w:adjustRightInd/>
        <w:snapToGrid/>
        <w:ind w:firstLine="554" w:firstLineChars="200"/>
        <w:textAlignment w:val="auto"/>
        <w:outlineLvl w:val="9"/>
        <w:rPr>
          <w:rFonts w:hint="eastAsia" w:ascii="仿宋_GB2312" w:hAnsi="仿宋_GB2312" w:eastAsia="仿宋_GB2312" w:cs="仿宋_GB2312"/>
          <w:lang w:val="zh-CN"/>
        </w:rPr>
      </w:pPr>
    </w:p>
    <w:p/>
    <w:sectPr>
      <w:footerReference r:id="rId3" w:type="default"/>
      <w:pgSz w:w="11906" w:h="16838"/>
      <w:pgMar w:top="1440" w:right="1800" w:bottom="1440" w:left="1800" w:header="851" w:footer="992" w:gutter="0"/>
      <w:cols w:space="0" w:num="1"/>
      <w:rtlGutter w:val="0"/>
      <w:docGrid w:type="linesAndChars" w:linePitch="465" w:charSpace="-473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4B00A8"/>
    <w:rsid w:val="514C4ACA"/>
    <w:rsid w:val="68F90080"/>
    <w:rsid w:val="6B642D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0"/>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eastAsia="仿宋_GB2312"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2020-06-29T05:07:00Z</dcterms:created>
  <dc:creator>Administrator</dc:creator>
  <cp:lastModifiedBy>Administrator</cp:lastModifiedBy>
  <dcterms:modified xsi:type="dcterms:W3CDTF">2020-06-29T05:37:00Z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