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医疗保障局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2019年3月单位新成立，年终决算最终实施项目7个，其中追加区级财政资金项目2个，职能划转民政局转2个，发改局转1个，上级转移支付项目2个。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2"/>
        </w:num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办公及医保基金监督检查及药品管理等工作经费：159,020.06元，主要用于保障局医疗保障监督检查及药品管理相关工作经费。</w:t>
      </w:r>
    </w:p>
    <w:p>
      <w:pPr>
        <w:numPr>
          <w:ilvl w:val="0"/>
          <w:numId w:val="2"/>
        </w:num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办公设备采购经费</w:t>
      </w:r>
      <w:r>
        <w:rPr>
          <w:rFonts w:hint="eastAsia"/>
          <w:sz w:val="30"/>
          <w:szCs w:val="30"/>
          <w:lang w:val="en-US" w:eastAsia="zh-CN"/>
        </w:rPr>
        <w:t>：113,900元，主要用于单位办公场所布置，办公设备购置一批经费。</w:t>
      </w:r>
    </w:p>
    <w:p>
      <w:pPr>
        <w:numPr>
          <w:ilvl w:val="0"/>
          <w:numId w:val="2"/>
        </w:num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民政转拔</w:t>
      </w:r>
      <w:r>
        <w:rPr>
          <w:rFonts w:hint="default"/>
          <w:sz w:val="30"/>
          <w:szCs w:val="30"/>
          <w:lang w:val="en-US" w:eastAsia="zh-CN"/>
        </w:rPr>
        <w:t>城乡医疗救助金151,789.00</w:t>
      </w:r>
      <w:r>
        <w:rPr>
          <w:rFonts w:hint="eastAsia"/>
          <w:sz w:val="30"/>
          <w:szCs w:val="30"/>
          <w:lang w:val="en-US" w:eastAsia="zh-CN"/>
        </w:rPr>
        <w:t>、重特大疾病基金19,504.44元，主要用于城乡医疗对象救助及重特大病人员救助基金。</w:t>
      </w:r>
    </w:p>
    <w:p>
      <w:pPr>
        <w:numPr>
          <w:ilvl w:val="0"/>
          <w:numId w:val="2"/>
        </w:num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发改局转拔价格监督管理工作经费20000元，主要用于医疗价格监督检查经费补助。</w:t>
      </w:r>
    </w:p>
    <w:p>
      <w:pPr>
        <w:numPr>
          <w:ilvl w:val="0"/>
          <w:numId w:val="2"/>
        </w:num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省级转移支付下达省级财政医疗救助补助资金(第二批）50000元，主要用于医疗救助补助，12月到达，资金未使用。</w:t>
      </w:r>
    </w:p>
    <w:p>
      <w:pPr>
        <w:numPr>
          <w:ilvl w:val="0"/>
          <w:numId w:val="2"/>
        </w:num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中央转移支付2019年中央财政医疗救助补助资金25,489.79元，用于医疗救助使用。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项目资金（包括公共财政预算资金、政府性基金、财政专户资金、自筹资金等）安排落实、总投入等情况分析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项目资金（主要是指财政</w:t>
      </w:r>
      <w:r>
        <w:rPr>
          <w:rFonts w:hint="eastAsia" w:ascii="仿宋_GB2312" w:hAnsi="仿宋_GB2312" w:cs="仿宋_GB231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szCs w:val="32"/>
        </w:rPr>
        <w:t>）实际使用情况分析。</w:t>
      </w:r>
      <w:r>
        <w:rPr>
          <w:rFonts w:hint="eastAsia" w:ascii="仿宋_GB2312" w:hAnsi="仿宋_GB2312" w:cs="仿宋_GB2312"/>
          <w:szCs w:val="32"/>
          <w:lang w:eastAsia="zh-CN"/>
        </w:rPr>
        <w:t>项目资金管理情况（包括管理制度、办法的制订及执行情况）分析。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2019年项目资金全部为</w:t>
      </w:r>
      <w:r>
        <w:rPr>
          <w:rFonts w:hint="eastAsia" w:ascii="仿宋_GB2312" w:hAnsi="仿宋_GB2312" w:eastAsia="仿宋_GB2312" w:cs="仿宋_GB2312"/>
          <w:szCs w:val="32"/>
        </w:rPr>
        <w:t>公共财政预算资金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根据实际需要，全部安排落实到位，全年总投入539,703.29元。所有项目资金根据财务会计制度、最新政策要求，单据齐全后支付。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区医疗保障局资金专项明晰，没有工程类项目，资金量小，单项经费全部在20万以下，指定用途，专款专用，所有资金开支接受医保用户监督。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exact"/>
        <w:ind w:firstLine="297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（一）努力实现法定人员医疗保险全覆盖。</w:t>
      </w:r>
    </w:p>
    <w:p>
      <w:pPr>
        <w:spacing w:line="560" w:lineRule="exact"/>
        <w:ind w:firstLine="297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（二）贯彻落实定点医药机构协议和支付管理办法。</w:t>
      </w:r>
    </w:p>
    <w:p>
      <w:pPr>
        <w:spacing w:line="560" w:lineRule="exact"/>
        <w:ind w:firstLine="594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）按要求及时结算、清算拨付各项医保资金。</w:t>
      </w:r>
    </w:p>
    <w:p>
      <w:pPr>
        <w:spacing w:line="560" w:lineRule="exact"/>
        <w:ind w:firstLine="594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）持续开展基本医疗和特殊困难人员医疗救助工作，确保无因病致贫、返贫的情况发生。</w:t>
      </w:r>
    </w:p>
    <w:p>
      <w:pPr>
        <w:spacing w:line="560" w:lineRule="exact"/>
        <w:ind w:firstLine="594" w:firstLineChars="200"/>
        <w:rPr>
          <w:rFonts w:hint="eastAsia" w:ascii="楷体_GB2312" w:eastAsia="楷体_GB2312"/>
          <w:sz w:val="32"/>
          <w:szCs w:val="32"/>
        </w:rPr>
      </w:pP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专项立项依据充分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根据区级财政批复文件及上级资金文件结合实际工作开展立项</w:t>
      </w:r>
      <w:r>
        <w:rPr>
          <w:rFonts w:hint="eastAsia" w:ascii="仿宋_GB2312"/>
          <w:szCs w:val="32"/>
        </w:rPr>
        <w:t>；</w:t>
      </w:r>
      <w:r>
        <w:rPr>
          <w:rFonts w:hint="eastAsia" w:ascii="仿宋_GB2312"/>
          <w:szCs w:val="32"/>
          <w:lang w:val="en-US" w:eastAsia="zh-CN"/>
        </w:rPr>
        <w:t>医疗保障局根据财政预算法，财务收支管理办法，政府采购法等</w:t>
      </w:r>
      <w:r>
        <w:rPr>
          <w:rFonts w:hint="eastAsia" w:ascii="仿宋_GB2312"/>
          <w:szCs w:val="32"/>
        </w:rPr>
        <w:t>资金管理办法</w:t>
      </w:r>
      <w:r>
        <w:rPr>
          <w:rFonts w:hint="eastAsia" w:ascii="仿宋_GB2312"/>
          <w:szCs w:val="32"/>
          <w:lang w:val="en-US" w:eastAsia="zh-CN"/>
        </w:rPr>
        <w:t>管理资金使用，根据政府大盘要求，结合新政策法规，合理规范管理资金</w:t>
      </w:r>
      <w:r>
        <w:rPr>
          <w:rFonts w:hint="eastAsia" w:ascii="仿宋_GB2312"/>
          <w:szCs w:val="32"/>
        </w:rPr>
        <w:t>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资金分配方面的问题。</w:t>
      </w:r>
    </w:p>
    <w:p>
      <w:pPr>
        <w:numPr>
          <w:numId w:val="0"/>
        </w:numPr>
        <w:topLinePunct/>
        <w:ind w:left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资金分配合理，突出重点，公平公正；资金分配和使用方向</w:t>
      </w:r>
      <w:r>
        <w:rPr>
          <w:rFonts w:hint="eastAsia" w:ascii="仿宋_GB2312"/>
          <w:szCs w:val="32"/>
          <w:lang w:val="en-US" w:eastAsia="zh-CN"/>
        </w:rPr>
        <w:t>符合</w:t>
      </w:r>
      <w:r>
        <w:rPr>
          <w:rFonts w:hint="eastAsia" w:ascii="仿宋_GB2312"/>
          <w:szCs w:val="32"/>
        </w:rPr>
        <w:t>资金管理办法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numPr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区级资金拔付及时，上级转移支付资金存在拔付较晚，无法支付。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numPr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</w:t>
      </w:r>
      <w:r>
        <w:rPr>
          <w:rFonts w:hint="eastAsia" w:ascii="仿宋_GB2312"/>
          <w:szCs w:val="32"/>
          <w:lang w:val="en-US" w:eastAsia="zh-CN"/>
        </w:rPr>
        <w:t>多数为救助经费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1、加强资金管理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2、加强内控建设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3、加强绩效管理学习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无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6E49C"/>
    <w:multiLevelType w:val="singleLevel"/>
    <w:tmpl w:val="8086E4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3C9CE26"/>
    <w:multiLevelType w:val="singleLevel"/>
    <w:tmpl w:val="83C9CE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0862B4"/>
    <w:rsid w:val="0E991BE7"/>
    <w:rsid w:val="1EE118EF"/>
    <w:rsid w:val="34893B3B"/>
    <w:rsid w:val="378A5996"/>
    <w:rsid w:val="4E1C3330"/>
    <w:rsid w:val="5A3C6978"/>
    <w:rsid w:val="5F4E3CB1"/>
    <w:rsid w:val="65B93424"/>
    <w:rsid w:val="67600811"/>
    <w:rsid w:val="6A7E5C9C"/>
    <w:rsid w:val="6E7732B6"/>
    <w:rsid w:val="7DA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2020-04-14T03:47:23Z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