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bookmarkStart w:id="0" w:name="_GoBack"/>
      <w:bookmarkEnd w:id="0"/>
      <w:r>
        <w:rPr>
          <w:sz w:val="32"/>
        </w:rPr>
        <w:pict>
          <v:shape id="_x0000_s1026" o:spid="_x0000_s1026" o:spt="201" type="#_x0000_t201" style="position:absolute;left:0pt;margin-left:-20.25pt;margin-top:-47.6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3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J88ZFLlmXO5Iy4mlNt6ymw60sMc=" w:salt="Er/DYcSGQw4ilATwx+npaw==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1463"/>
    <w:rsid w:val="2ADD6EA9"/>
    <w:rsid w:val="5B4017AD"/>
    <w:rsid w:val="676F4648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NTKO</cp:lastModifiedBy>
  <dcterms:modified xsi:type="dcterms:W3CDTF">2020-04-27T01:34:30Z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docranid">
    <vt:lpwstr>15DB170FA7124240B8FDB4B9A2CC458F</vt:lpwstr>
  </property>
</Properties>
</file>