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sz w:val="44"/>
          <w:szCs w:val="44"/>
        </w:rPr>
      </w:pPr>
      <w:bookmarkStart w:id="0" w:name="_GoBack"/>
      <w:bookmarkEnd w:id="0"/>
      <w:r>
        <w:rPr>
          <w:rFonts w:hint="eastAsia" w:ascii="宋体" w:hAnsi="宋体" w:eastAsia="宋体"/>
          <w:b/>
          <w:bCs/>
          <w:sz w:val="44"/>
          <w:szCs w:val="44"/>
        </w:rPr>
        <w:t>昆明市呈贡区文化馆</w:t>
      </w:r>
      <w:r>
        <w:rPr>
          <w:rFonts w:hint="eastAsia" w:ascii="宋体" w:hAnsi="宋体" w:eastAsia="宋体"/>
          <w:b/>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594" w:firstLineChars="200"/>
        <w:rPr>
          <w:rFonts w:hint="eastAsia" w:ascii="仿宋_GB2312"/>
          <w:szCs w:val="32"/>
        </w:rPr>
      </w:pPr>
      <w:r>
        <w:rPr>
          <w:rFonts w:hint="eastAsia" w:ascii="仿宋_GB2312"/>
          <w:szCs w:val="32"/>
        </w:rPr>
        <w:t>（一）项目基本情况</w:t>
      </w:r>
    </w:p>
    <w:p>
      <w:pPr>
        <w:topLinePunct/>
        <w:ind w:firstLine="594" w:firstLineChars="200"/>
        <w:rPr>
          <w:rFonts w:ascii="仿宋_GB2312"/>
          <w:szCs w:val="32"/>
        </w:rPr>
      </w:pPr>
      <w:r>
        <w:rPr>
          <w:rFonts w:hint="eastAsia" w:ascii="仿宋_GB2312" w:hAnsi="仿宋_GB2312"/>
        </w:rPr>
        <w:t>2019年度项目经费主要有：免费开放区域供水供电及物业管理、日常设备设施管理及维护、社区文化培训建设、开展各类业务活动、群众文化活动等。项目资金涉及范围：水电费、日常设备及设施维修维护费、社区文化汇演及培训活动经费等。</w:t>
      </w:r>
    </w:p>
    <w:p>
      <w:pPr>
        <w:topLinePunct/>
        <w:ind w:firstLine="594" w:firstLineChars="200"/>
        <w:rPr>
          <w:rFonts w:ascii="仿宋_GB2312"/>
          <w:szCs w:val="32"/>
        </w:rPr>
      </w:pPr>
      <w:r>
        <w:rPr>
          <w:rFonts w:hint="eastAsia" w:ascii="仿宋_GB2312"/>
          <w:szCs w:val="32"/>
        </w:rPr>
        <w:t>（二）绩效目标设定及指标完成情况。</w:t>
      </w:r>
    </w:p>
    <w:p>
      <w:pPr>
        <w:ind w:firstLine="588" w:firstLineChars="198"/>
        <w:rPr>
          <w:rFonts w:ascii="仿宋_GB2312" w:hAnsi="Calibri" w:cs="Times New Roman"/>
          <w:szCs w:val="32"/>
        </w:rPr>
      </w:pPr>
      <w:r>
        <w:rPr>
          <w:rFonts w:hint="eastAsia" w:ascii="Calibri" w:hAnsi="Calibri" w:cs="Times New Roman"/>
          <w:bCs/>
          <w:szCs w:val="32"/>
        </w:rPr>
        <w:t>面向群众，面向基层，实施公益文化服务，保障人民群众基本文化权益，大力开展全民文艺推广活动，免费向公民提供文化艺术的场所，群众可以在里面排练舞蹈、合唱。绘画等文艺活动，学习科学文化艺术，有效提高国民的综合素质。</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项目资金（主要是指财政拨款）实际使用情况分析。项目资金管理情况（包括管理制度、办法的制订及执行情况）分析如下：</w:t>
      </w:r>
    </w:p>
    <w:tbl>
      <w:tblPr>
        <w:tblStyle w:val="6"/>
        <w:tblW w:w="8320" w:type="dxa"/>
        <w:jc w:val="center"/>
        <w:tblInd w:w="0" w:type="dxa"/>
        <w:tblLayout w:type="fixed"/>
        <w:tblCellMar>
          <w:top w:w="0" w:type="dxa"/>
          <w:left w:w="108" w:type="dxa"/>
          <w:bottom w:w="0" w:type="dxa"/>
          <w:right w:w="108" w:type="dxa"/>
        </w:tblCellMar>
      </w:tblPr>
      <w:tblGrid>
        <w:gridCol w:w="1080"/>
        <w:gridCol w:w="5920"/>
        <w:gridCol w:w="1320"/>
      </w:tblGrid>
      <w:tr>
        <w:tblPrEx>
          <w:tblLayout w:type="fixed"/>
          <w:tblCellMar>
            <w:top w:w="0" w:type="dxa"/>
            <w:left w:w="108" w:type="dxa"/>
            <w:bottom w:w="0" w:type="dxa"/>
            <w:right w:w="108" w:type="dxa"/>
          </w:tblCellMar>
        </w:tblPrEx>
        <w:trPr>
          <w:trHeight w:val="494"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序号</w:t>
            </w:r>
          </w:p>
        </w:tc>
        <w:tc>
          <w:tcPr>
            <w:tcW w:w="5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项目名称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金额</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省、市民族民间歌舞乐展演</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春节系列文体活动</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280,352.00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昆明市春城文化节分会场</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180,196.56</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大家乐广场舞大赛</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第十四届“花都”文化节</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250,000.00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呈贡文化馆数字文化馆及总分馆平台二期建设</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798,900.00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社区、校园电影放映</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呈贡新区职工艺术节</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区文化艺术培训班</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59,999.89</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非遗传习、传承</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4,038.00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呈贡民间绘画创作培训班</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地方文化品牌扶持经费</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区级非遗传承人补贴</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地方文化品牌打造</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149,993.00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非物质文化遗产保护</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27,744.00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下达2019年美术馆、公共图书馆、文化馆（站）免费开放市级补助资金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展览</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27,251.00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市、区级安排临时性任务车费、小工费等</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19,923.00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呈贡区文化馆2018年项目尾款经费</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174,715.68</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免费开放经费</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文学创作</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文化艺术作品刊物制作</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50,000.00</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w:t>
            </w:r>
          </w:p>
        </w:tc>
        <w:tc>
          <w:tcPr>
            <w:tcW w:w="592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2019年美术馆 公共图书馆 文化馆（站）免费开放补助资金</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157,782.97</w:t>
            </w:r>
          </w:p>
        </w:tc>
      </w:tr>
    </w:tbl>
    <w:p>
      <w:pPr>
        <w:topLinePunct/>
        <w:ind w:firstLine="594" w:firstLineChars="200"/>
        <w:rPr>
          <w:rFonts w:ascii="仿宋_GB2312"/>
          <w:b/>
          <w:bCs/>
          <w:szCs w:val="32"/>
        </w:rPr>
      </w:pPr>
      <w:r>
        <w:rPr>
          <w:rFonts w:hint="eastAsia" w:ascii="仿宋_GB2312"/>
          <w:b/>
          <w:bCs/>
          <w:szCs w:val="32"/>
        </w:rPr>
        <w:t>三、项目组织实施情况</w:t>
      </w:r>
    </w:p>
    <w:p>
      <w:pPr>
        <w:topLinePunct/>
        <w:ind w:firstLine="594" w:firstLineChars="200"/>
        <w:rPr>
          <w:rFonts w:ascii="仿宋_GB2312"/>
          <w:szCs w:val="32"/>
        </w:rPr>
      </w:pPr>
      <w:r>
        <w:rPr>
          <w:rFonts w:hint="eastAsia" w:ascii="仿宋_GB2312"/>
          <w:szCs w:val="32"/>
        </w:rPr>
        <w:t>我馆项目经费由</w:t>
      </w:r>
      <w:r>
        <w:rPr>
          <w:rFonts w:hint="eastAsia" w:ascii="仿宋_GB2312" w:hAnsi="仿宋"/>
          <w:szCs w:val="32"/>
        </w:rPr>
        <w:t>呈贡区文化和旅游局</w:t>
      </w:r>
      <w:r>
        <w:rPr>
          <w:rFonts w:hint="eastAsia" w:ascii="仿宋_GB2312"/>
          <w:szCs w:val="32"/>
        </w:rPr>
        <w:t>负责组织实施，严格执行项目有关制度规定，做到财务制度健全、管理规范、会计核算规范，无违规收费现象。</w:t>
      </w:r>
    </w:p>
    <w:p>
      <w:pPr>
        <w:topLinePunct/>
        <w:ind w:firstLine="594" w:firstLineChars="200"/>
        <w:rPr>
          <w:rFonts w:ascii="仿宋_GB2312"/>
          <w:b/>
          <w:bCs/>
          <w:szCs w:val="32"/>
        </w:rPr>
      </w:pPr>
      <w:r>
        <w:rPr>
          <w:rFonts w:hint="eastAsia" w:ascii="仿宋_GB2312"/>
          <w:b/>
          <w:bCs/>
          <w:szCs w:val="32"/>
        </w:rPr>
        <w:t>四、项目绩效情况</w:t>
      </w:r>
    </w:p>
    <w:p>
      <w:pPr>
        <w:ind w:firstLine="594" w:firstLineChars="200"/>
        <w:outlineLvl w:val="0"/>
        <w:rPr>
          <w:rFonts w:ascii="仿宋_GB2312"/>
          <w:szCs w:val="32"/>
        </w:rPr>
      </w:pPr>
      <w:r>
        <w:rPr>
          <w:rFonts w:hint="eastAsia" w:ascii="仿宋_GB2312"/>
          <w:szCs w:val="32"/>
        </w:rPr>
        <w:t>（一）项目资金情况分析</w:t>
      </w:r>
    </w:p>
    <w:p>
      <w:pPr>
        <w:ind w:firstLine="594" w:firstLineChars="200"/>
        <w:outlineLvl w:val="0"/>
        <w:rPr>
          <w:rFonts w:ascii="仿宋_GB2312"/>
          <w:szCs w:val="32"/>
        </w:rPr>
      </w:pPr>
      <w:r>
        <w:rPr>
          <w:rFonts w:hint="eastAsia" w:ascii="仿宋_GB2312"/>
          <w:szCs w:val="32"/>
        </w:rPr>
        <w:t>2019年区级财政预算项目资金</w:t>
      </w:r>
      <w:r>
        <w:rPr>
          <w:rFonts w:ascii="仿宋_GB2312"/>
          <w:bCs/>
          <w:szCs w:val="32"/>
        </w:rPr>
        <w:t>2,845,896.10</w:t>
      </w:r>
      <w:r>
        <w:rPr>
          <w:rFonts w:hint="eastAsia" w:ascii="仿宋_GB2312"/>
          <w:szCs w:val="32"/>
        </w:rPr>
        <w:t>元，实际到位资金</w:t>
      </w:r>
      <w:r>
        <w:rPr>
          <w:rFonts w:ascii="仿宋_GB2312"/>
          <w:bCs/>
          <w:szCs w:val="32"/>
        </w:rPr>
        <w:t>2,845,896.10</w:t>
      </w:r>
      <w:r>
        <w:rPr>
          <w:rFonts w:hint="eastAsia" w:ascii="仿宋_GB2312"/>
          <w:szCs w:val="32"/>
        </w:rPr>
        <w:t>元，资金到位率100%。</w:t>
      </w:r>
    </w:p>
    <w:p>
      <w:pPr>
        <w:ind w:firstLine="594" w:firstLineChars="200"/>
        <w:outlineLvl w:val="0"/>
        <w:rPr>
          <w:rFonts w:ascii="仿宋_GB2312"/>
          <w:szCs w:val="32"/>
        </w:rPr>
      </w:pPr>
      <w:r>
        <w:rPr>
          <w:rFonts w:hint="eastAsia" w:ascii="仿宋_GB2312"/>
          <w:szCs w:val="32"/>
        </w:rPr>
        <w:t>2019年完成资金支出</w:t>
      </w:r>
      <w:r>
        <w:rPr>
          <w:rFonts w:ascii="仿宋_GB2312"/>
          <w:bCs/>
          <w:szCs w:val="32"/>
        </w:rPr>
        <w:t>2,845,896.10</w:t>
      </w:r>
      <w:r>
        <w:rPr>
          <w:rFonts w:hint="eastAsia" w:ascii="仿宋_GB2312"/>
          <w:szCs w:val="32"/>
        </w:rPr>
        <w:t>元，</w:t>
      </w:r>
      <w:r>
        <w:rPr>
          <w:rFonts w:hint="eastAsia" w:ascii="仿宋_GB2312" w:hAnsi="Arial" w:cs="Arial"/>
          <w:szCs w:val="32"/>
        </w:rPr>
        <w:t>项目资金使用率100%</w:t>
      </w:r>
      <w:r>
        <w:rPr>
          <w:rFonts w:hint="eastAsia" w:ascii="仿宋_GB2312" w:hAnsi="仿宋_GB2312" w:cs="仿宋_GB2312"/>
          <w:szCs w:val="32"/>
        </w:rPr>
        <w:t>。</w:t>
      </w:r>
    </w:p>
    <w:p>
      <w:pPr>
        <w:ind w:firstLine="594" w:firstLineChars="200"/>
        <w:outlineLvl w:val="0"/>
        <w:rPr>
          <w:rFonts w:ascii="仿宋_GB2312"/>
          <w:szCs w:val="32"/>
        </w:rPr>
      </w:pPr>
      <w:r>
        <w:rPr>
          <w:rFonts w:hint="eastAsia" w:ascii="仿宋_GB2312"/>
          <w:szCs w:val="32"/>
        </w:rPr>
        <w:t>（二）项目绩效情况分析</w:t>
      </w:r>
    </w:p>
    <w:p>
      <w:pPr>
        <w:topLinePunct/>
        <w:ind w:firstLine="594" w:firstLineChars="200"/>
        <w:rPr>
          <w:rFonts w:ascii="仿宋_GB2312"/>
          <w:szCs w:val="32"/>
        </w:rPr>
      </w:pPr>
      <w:r>
        <w:rPr>
          <w:rFonts w:hint="eastAsia" w:ascii="仿宋_GB2312"/>
          <w:szCs w:val="32"/>
        </w:rPr>
        <w:t>1.项目实施对经济和社会的影响</w:t>
      </w:r>
    </w:p>
    <w:p>
      <w:pPr>
        <w:topLinePunct/>
        <w:ind w:firstLine="594" w:firstLineChars="200"/>
        <w:rPr>
          <w:rFonts w:ascii="仿宋_GB2312"/>
          <w:szCs w:val="32"/>
        </w:rPr>
      </w:pPr>
      <w:r>
        <w:rPr>
          <w:rFonts w:hint="eastAsia" w:ascii="仿宋_GB2312"/>
          <w:szCs w:val="32"/>
        </w:rPr>
        <w:t>项目实施保障了呈贡区文化馆免费开放及正常运行，满足人民群众日益增长的精神文化需要，保障人民基本文化权益。</w:t>
      </w:r>
    </w:p>
    <w:p>
      <w:pPr>
        <w:topLinePunct/>
        <w:ind w:firstLine="594" w:firstLineChars="200"/>
        <w:rPr>
          <w:rFonts w:ascii="仿宋_GB2312"/>
          <w:szCs w:val="32"/>
        </w:rPr>
      </w:pPr>
      <w:r>
        <w:rPr>
          <w:rFonts w:hint="eastAsia" w:ascii="仿宋_GB2312"/>
          <w:szCs w:val="32"/>
        </w:rPr>
        <w:t>2. 项目的效率性分析</w:t>
      </w:r>
    </w:p>
    <w:p>
      <w:pPr>
        <w:topLinePunct/>
        <w:ind w:firstLine="582" w:firstLineChars="196"/>
        <w:rPr>
          <w:rFonts w:ascii="仿宋_GB2312"/>
          <w:szCs w:val="32"/>
        </w:rPr>
      </w:pPr>
      <w:r>
        <w:rPr>
          <w:rFonts w:hint="eastAsia" w:ascii="仿宋_GB2312"/>
          <w:szCs w:val="32"/>
        </w:rPr>
        <w:t>（1）群众文化活动开展情况</w:t>
      </w:r>
    </w:p>
    <w:p>
      <w:pPr>
        <w:topLinePunct/>
        <w:ind w:firstLine="594" w:firstLineChars="200"/>
        <w:rPr>
          <w:rFonts w:ascii="仿宋_GB2312"/>
          <w:szCs w:val="32"/>
        </w:rPr>
      </w:pPr>
      <w:r>
        <w:rPr>
          <w:rFonts w:hint="eastAsia" w:ascii="仿宋_GB2312"/>
          <w:szCs w:val="32"/>
        </w:rPr>
        <w:t>文化广场举行了“我们的中国梦”文化进万家暨“我们的节日”春节群众文化系列活动，举办了2019年“春城文化节”第四届职工艺术节，“庆祝中华人民共和国成立70周年”暨2019年“文化和自然遗产日”非物质文化遗产宣传活动在呈贡广场隆重举行。呈贡区文化科技卫生“三下乡”活动。春节文体系列活动。欢天喜地闹元宵系列活动活动。吴家营街道2019“中国农民丰收节”暨昆明呈贡第七届“万溪宝珠梨采摘节”文化惠民演出活动。“扫黑除恶”戏曲进社区法治宣传专题文艺演出活动在呈贡区斗南街道梅子社区举行。2019年春城文化节第十四届昆明•呈贡花都文化旅游节，组织了开幕式文艺演出及农民画作者展示。“2019年呈贡新区新春书画、摄影、剪纸作品展”在呈贡区文化馆二楼展厅举办。完成呈贡区2018年征兵集中宣传报名文艺演出的组织工作。2019年春城文化节第十四届昆明•呈贡花都文化旅游节全新起航。报送作品参加云南省第三届“彩云奖”评选。</w:t>
      </w:r>
    </w:p>
    <w:p>
      <w:pPr>
        <w:topLinePunct/>
        <w:ind w:firstLine="582" w:firstLineChars="196"/>
        <w:rPr>
          <w:rFonts w:ascii="仿宋_GB2312"/>
          <w:szCs w:val="32"/>
        </w:rPr>
      </w:pPr>
      <w:r>
        <w:rPr>
          <w:rFonts w:hint="eastAsia" w:ascii="仿宋_GB2312"/>
          <w:szCs w:val="32"/>
        </w:rPr>
        <w:t>（2）书画展览</w:t>
      </w:r>
    </w:p>
    <w:p>
      <w:pPr>
        <w:topLinePunct/>
        <w:ind w:firstLine="582" w:firstLineChars="196"/>
        <w:rPr>
          <w:rFonts w:ascii="仿宋_GB2312"/>
          <w:szCs w:val="32"/>
        </w:rPr>
      </w:pPr>
      <w:r>
        <w:rPr>
          <w:rFonts w:hint="eastAsia" w:ascii="仿宋_GB2312"/>
          <w:szCs w:val="32"/>
        </w:rPr>
        <w:t>2019年迎新春书画摄影剪纸展览展览活动自1月10日----20日征稿,共收到书画作品90余幅、摄影作品160余幅、剪纸作品30余幅，经初选后共有60幅书画作品、40幅摄影作品、20幅剪纸作品参加展览活动，2019年19日----23日组织摄影骨干作者10人开展”重走长征路，“庆祝中华人民共和国成立70周年2019年春城文化节·呈贡区第四届职工艺术节系列文化活动”暨《多彩呈贡》——书画、摄影、剪纸作品展”作品来自全区各部门、大专院校以及企事业单位爱好者近300余幅作品投稿参与，经邀请省市专家评委认真评选共评出书画作40幅、摄影作品40幅、剪纸作品26幅参加此次展览。</w:t>
      </w:r>
    </w:p>
    <w:p>
      <w:pPr>
        <w:topLinePunct/>
        <w:ind w:firstLine="582" w:firstLineChars="196"/>
        <w:rPr>
          <w:rFonts w:ascii="仿宋_GB2312"/>
          <w:szCs w:val="32"/>
        </w:rPr>
      </w:pPr>
      <w:r>
        <w:rPr>
          <w:rFonts w:hint="eastAsia" w:ascii="仿宋_GB2312"/>
          <w:szCs w:val="32"/>
        </w:rPr>
        <w:t>（3）免费开放艺术培训活动</w:t>
      </w:r>
    </w:p>
    <w:p>
      <w:pPr>
        <w:topLinePunct/>
        <w:ind w:firstLine="582" w:firstLineChars="196"/>
        <w:rPr>
          <w:rFonts w:ascii="仿宋_GB2312"/>
          <w:szCs w:val="32"/>
        </w:rPr>
      </w:pPr>
      <w:r>
        <w:rPr>
          <w:rFonts w:hint="eastAsia" w:ascii="仿宋_GB2312"/>
          <w:szCs w:val="32"/>
        </w:rPr>
        <w:t>4月22日呈贡区文化馆将针对机关单位、街道、社区、外来务工人员等不同群体开设不同类别的公益性免费艺术培训班开班，开设了书法班、绘画班、剪纸班、民族民间舞班、东方舞班、手工艺制作班、瑜伽班、合唱班共8个艺术门类，每个门类总课时为22次。从4月至9月，每月举办一期广场舞培训。于5月31日在斗南滇剧传习馆正式开班。区文化馆安排呈贡区省级非遗菱角编制传承人李留美以及市级非遗剪纸传承人高庆，到梅子社区分别进行菱角编制和剪纸的教学，社区近30名爱好者参加了培训，自2018年9月开班以来，坚持每周进行一次授课。呈贡区文化馆于7月2日、3日，在斗南街道梅子社区举办第三期广场舞培训班，共有80名学员通过手机报名参加了此次培训。</w:t>
      </w:r>
    </w:p>
    <w:p>
      <w:pPr>
        <w:topLinePunct/>
        <w:ind w:firstLine="594" w:firstLineChars="200"/>
        <w:rPr>
          <w:rFonts w:ascii="仿宋_GB2312"/>
          <w:szCs w:val="32"/>
        </w:rPr>
      </w:pPr>
      <w:r>
        <w:rPr>
          <w:rFonts w:hint="eastAsia" w:ascii="仿宋_GB2312"/>
          <w:szCs w:val="32"/>
        </w:rPr>
        <w:t>民众满意度98分，绩效指标完成情况为良，通过对调查结果进行分析，我馆在开馆时间，开展的各类活动的满意程度方面有待加强。</w:t>
      </w:r>
    </w:p>
    <w:p>
      <w:pPr>
        <w:topLinePunct/>
        <w:ind w:firstLine="582" w:firstLineChars="196"/>
        <w:rPr>
          <w:rFonts w:ascii="仿宋_GB2312"/>
          <w:szCs w:val="32"/>
        </w:rPr>
      </w:pPr>
      <w:r>
        <w:rPr>
          <w:rFonts w:hint="eastAsia" w:ascii="仿宋_GB2312"/>
          <w:szCs w:val="32"/>
        </w:rPr>
        <w:t>3. 项目的可持续性分析</w:t>
      </w:r>
    </w:p>
    <w:p>
      <w:pPr>
        <w:topLinePunct/>
        <w:ind w:firstLine="582" w:firstLineChars="196"/>
        <w:rPr>
          <w:rFonts w:ascii="仿宋_GB2312"/>
          <w:szCs w:val="32"/>
        </w:rPr>
      </w:pPr>
      <w:r>
        <w:rPr>
          <w:rFonts w:hint="eastAsia" w:ascii="仿宋_GB2312"/>
          <w:szCs w:val="32"/>
        </w:rPr>
        <w:t>文化馆是公益性窗口服务单位，国家及地方财政每年均全额拨款,保障文化馆免费开放的可持续性。</w:t>
      </w:r>
    </w:p>
    <w:p>
      <w:pPr>
        <w:numPr>
          <w:ilvl w:val="0"/>
          <w:numId w:val="1"/>
        </w:numPr>
        <w:topLinePunct/>
        <w:ind w:firstLine="594" w:firstLineChars="200"/>
        <w:rPr>
          <w:rFonts w:ascii="黑体" w:eastAsia="黑体"/>
          <w:szCs w:val="32"/>
        </w:rPr>
      </w:pPr>
      <w:r>
        <w:rPr>
          <w:rFonts w:hint="eastAsia" w:ascii="黑体" w:eastAsia="黑体"/>
          <w:szCs w:val="32"/>
        </w:rPr>
        <w:t>存在的问题</w:t>
      </w:r>
    </w:p>
    <w:p>
      <w:pPr>
        <w:ind w:firstLine="594" w:firstLineChars="200"/>
        <w:rPr>
          <w:rFonts w:ascii="仿宋_GB2312" w:hAnsi="仿宋_GB2312" w:cs="仿宋_GB2312"/>
        </w:rPr>
      </w:pPr>
      <w:r>
        <w:rPr>
          <w:rFonts w:ascii="仿宋_GB2312" w:hAnsi="仿宋_GB2312" w:cs="仿宋_GB2312"/>
        </w:rPr>
        <w:t>部门整体支出年初预算与其他增加项的年初预算不准确，尽管演出活动存在不可预计因素，但实际执行与年初预算差异较大。</w:t>
      </w:r>
      <w:r>
        <w:rPr>
          <w:rFonts w:hint="eastAsia" w:ascii="仿宋_GB2312" w:hAnsi="仿宋_GB2312" w:cs="仿宋_GB2312"/>
        </w:rPr>
        <w:t>整改措施：完善财务管理，明确专人监管。报销凭证齐全，业务资料归档管理。</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仿宋_GB2312"/>
          <w:szCs w:val="32"/>
        </w:rPr>
      </w:pPr>
      <w:r>
        <w:rPr>
          <w:rFonts w:hint="eastAsia" w:ascii="仿宋_GB2312"/>
          <w:szCs w:val="32"/>
        </w:rPr>
        <w:t>主要经验做法、改进措施和有关建议等。</w:t>
      </w:r>
    </w:p>
    <w:p>
      <w:pPr>
        <w:ind w:firstLine="594" w:firstLineChars="200"/>
        <w:rPr>
          <w:rFonts w:ascii="仿宋_GB2312" w:hAnsi="仿宋_GB2312" w:cs="仿宋_GB2312"/>
        </w:rPr>
      </w:pPr>
      <w:r>
        <w:rPr>
          <w:rFonts w:hint="eastAsia" w:ascii="仿宋_GB2312" w:hAnsi="仿宋_GB2312" w:cs="仿宋_GB2312"/>
        </w:rPr>
        <w:t>（一）搞好预算编制，强化预算执行</w:t>
      </w:r>
    </w:p>
    <w:p>
      <w:pPr>
        <w:ind w:firstLine="594" w:firstLineChars="200"/>
        <w:rPr>
          <w:rFonts w:ascii="仿宋_GB2312" w:hAnsi="仿宋_GB2312" w:cs="仿宋_GB2312"/>
        </w:rPr>
      </w:pPr>
      <w:r>
        <w:rPr>
          <w:rFonts w:hint="eastAsia" w:ascii="仿宋_GB2312" w:hAnsi="仿宋_GB2312" w:cs="仿宋_GB2312"/>
        </w:rPr>
        <w:t>在科学编制部门预算的基础上，严格规范预算调整和追加，有效控制预算调整和追加规模，强化部门预算编制的严肃性。切实加强预算执行力，杜绝“重预算，轻执行”倾向。</w:t>
      </w:r>
    </w:p>
    <w:p>
      <w:pPr>
        <w:ind w:firstLine="594" w:firstLineChars="200"/>
        <w:rPr>
          <w:rFonts w:ascii="仿宋_GB2312" w:hAnsi="仿宋_GB2312" w:cs="仿宋_GB2312"/>
        </w:rPr>
      </w:pPr>
      <w:r>
        <w:rPr>
          <w:rFonts w:hint="eastAsia" w:ascii="仿宋_GB2312" w:hAnsi="仿宋_GB2312" w:cs="仿宋_GB2312"/>
        </w:rPr>
        <w:t>（二）加强财务管理，规范会计核算</w:t>
      </w:r>
    </w:p>
    <w:p>
      <w:pPr>
        <w:ind w:firstLine="594" w:firstLineChars="200"/>
        <w:rPr>
          <w:rFonts w:ascii="仿宋_GB2312" w:hAnsi="仿宋_GB2312" w:cs="仿宋_GB2312"/>
        </w:rPr>
      </w:pPr>
      <w:r>
        <w:rPr>
          <w:rFonts w:hint="eastAsia" w:ascii="仿宋_GB2312" w:hAnsi="仿宋_GB2312" w:cs="仿宋_GB2312"/>
        </w:rPr>
        <w:t>一是演出补助发放要有根有据。各类演出补助要有详细的计算清单，多少场次、每场补助标准、演出证明资料等列示清楚，补助金额做到透明合理。</w:t>
      </w:r>
    </w:p>
    <w:p>
      <w:pPr>
        <w:ind w:firstLine="594" w:firstLineChars="200"/>
        <w:rPr>
          <w:rFonts w:ascii="仿宋_GB2312" w:hAnsi="仿宋_GB2312" w:cs="仿宋_GB2312"/>
        </w:rPr>
      </w:pPr>
      <w:r>
        <w:rPr>
          <w:rFonts w:hint="eastAsia" w:ascii="仿宋_GB2312" w:hAnsi="仿宋_GB2312" w:cs="仿宋_GB2312"/>
        </w:rPr>
        <w:t>二是要完善会计凭证附件。演出费是区文化馆主要支出内容，频率高、金额大，支付演出费要依法取得劳务发票。</w:t>
      </w:r>
    </w:p>
    <w:p>
      <w:pPr>
        <w:ind w:firstLine="594" w:firstLineChars="200"/>
        <w:rPr>
          <w:rFonts w:ascii="仿宋_GB2312" w:hAnsi="仿宋_GB2312" w:cs="仿宋_GB2312"/>
        </w:rPr>
      </w:pPr>
      <w:r>
        <w:rPr>
          <w:rFonts w:hint="eastAsia" w:ascii="仿宋_GB2312" w:hAnsi="仿宋_GB2312" w:cs="仿宋_GB2312"/>
        </w:rPr>
        <w:t>（三）规范业务管理，提升业务效果</w:t>
      </w:r>
    </w:p>
    <w:p>
      <w:pPr>
        <w:ind w:firstLine="891" w:firstLineChars="300"/>
        <w:rPr>
          <w:rFonts w:ascii="仿宋_GB2312" w:hAnsi="仿宋_GB2312" w:cs="仿宋_GB2312"/>
        </w:rPr>
      </w:pPr>
      <w:r>
        <w:rPr>
          <w:rFonts w:hint="eastAsia" w:ascii="仿宋_GB2312" w:hAnsi="仿宋_GB2312" w:cs="仿宋_GB2312"/>
        </w:rPr>
        <w:t>规范相关业务流程。区文化馆应与长期合作的定期参演单位、受聘讲课单位、设备出租方等签订业务合同，明确演出和相关业务内容要求，每场演出后形成节目清单、演出视频、参演人员的完整档案，妥善保存。</w:t>
      </w:r>
    </w:p>
    <w:p>
      <w:pPr>
        <w:topLinePunct/>
        <w:ind w:left="444"/>
        <w:rPr>
          <w:rFonts w:hint="eastAsia" w:ascii="仿宋_GB2312"/>
          <w:szCs w:val="32"/>
        </w:rPr>
      </w:pPr>
    </w:p>
    <w:p>
      <w:pPr>
        <w:topLinePunct/>
        <w:ind w:left="444"/>
        <w:rPr>
          <w:rFonts w:hint="eastAsia" w:ascii="仿宋_GB2312"/>
          <w:szCs w:val="32"/>
        </w:rPr>
      </w:pPr>
    </w:p>
    <w:p>
      <w:pPr>
        <w:topLinePunct/>
        <w:ind w:left="444"/>
        <w:rPr>
          <w:rFonts w:hint="eastAsia" w:ascii="仿宋_GB2312"/>
          <w:szCs w:val="32"/>
        </w:rPr>
      </w:pPr>
    </w:p>
    <w:p>
      <w:pPr>
        <w:ind w:right="594"/>
        <w:jc w:val="right"/>
        <w:rPr>
          <w:rFonts w:ascii="仿宋_GB2312"/>
          <w:bCs/>
          <w:szCs w:val="32"/>
        </w:rPr>
      </w:pPr>
      <w:r>
        <w:rPr>
          <w:rFonts w:hint="eastAsia" w:ascii="仿宋_GB2312"/>
          <w:bCs/>
          <w:szCs w:val="32"/>
        </w:rPr>
        <w:t>昆明市呈贡区文化馆</w:t>
      </w:r>
    </w:p>
    <w:p>
      <w:pPr>
        <w:ind w:right="592"/>
        <w:jc w:val="center"/>
      </w:pPr>
      <w:r>
        <w:rPr>
          <w:rFonts w:hint="eastAsia" w:ascii="仿宋_GB2312"/>
          <w:bCs/>
          <w:szCs w:val="32"/>
        </w:rPr>
        <w:t xml:space="preserve">                                20</w:t>
      </w:r>
      <w:r>
        <w:rPr>
          <w:rFonts w:hint="eastAsia" w:ascii="仿宋_GB2312"/>
          <w:bCs/>
          <w:szCs w:val="32"/>
          <w:lang w:val="en-US" w:eastAsia="zh-CN"/>
        </w:rPr>
        <w:t>20</w:t>
      </w:r>
      <w:r>
        <w:rPr>
          <w:rFonts w:hint="eastAsia" w:ascii="仿宋_GB2312"/>
          <w:bCs/>
          <w:szCs w:val="32"/>
        </w:rPr>
        <w:t>年4</w:t>
      </w:r>
      <w:r>
        <w:rPr>
          <w:sz w:val="32"/>
        </w:rPr>
        <w:pict>
          <v:shape id="Control 2" o:spid="_x0000_s1027" o:spt="201" alt="" type="#_x0000_t201" style="position:absolute;left:0pt;margin-left:260.85pt;margin-top:-54.3pt;height:128pt;width:128pt;z-index:251658240;mso-width-relative:page;mso-height-relative:page;" o:ole="t" filled="f" o:preferrelative="t" stroked="f" coordsize="21600,21600">
            <v:path/>
            <v:fill on="f" focussize="0,0"/>
            <v:stroke on="f"/>
            <v:imagedata r:id="rId5" o:title=""/>
            <o:lock v:ext="edit" aspectratio="f"/>
          </v:shape>
          <w:control r:id="rId4" w:name="Control 2" w:shapeid="Control 2"/>
        </w:pict>
      </w:r>
      <w:r>
        <w:rPr>
          <w:rFonts w:hint="eastAsia" w:ascii="仿宋_GB2312"/>
          <w:bCs/>
          <w:szCs w:val="32"/>
        </w:rPr>
        <w:t>月9日</w:t>
      </w:r>
    </w:p>
    <w:p>
      <w:pPr>
        <w:topLinePunct/>
        <w:ind w:left="444"/>
        <w:rPr>
          <w:rFonts w:ascii="仿宋_GB2312"/>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176201"/>
    <w:multiLevelType w:val="singleLevel"/>
    <w:tmpl w:val="B117620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dit="forms" w:enforcement="1" w:cryptProviderType="rsaFull" w:cryptAlgorithmClass="hash" w:cryptAlgorithmType="typeAny" w:cryptAlgorithmSid="4" w:cryptSpinCount="0" w:hash="IF0NJLgFSnstgZ7EL3j6HBXIMQw=" w:salt="wGZgi8QbhzD1gX80H4qDvQ=="/>
  <w:defaultTabStop w:val="420"/>
  <w:drawingGridHorizontalSpacing w:val="148"/>
  <w:drawingGridVerticalSpacing w:val="30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366A5"/>
    <w:rsid w:val="000366A5"/>
    <w:rsid w:val="00080B32"/>
    <w:rsid w:val="001D6A09"/>
    <w:rsid w:val="003B75B2"/>
    <w:rsid w:val="0049104B"/>
    <w:rsid w:val="006448B2"/>
    <w:rsid w:val="006D0C9C"/>
    <w:rsid w:val="006F004E"/>
    <w:rsid w:val="00837568"/>
    <w:rsid w:val="00B52E14"/>
    <w:rsid w:val="00C95AEC"/>
    <w:rsid w:val="00FB7BA7"/>
    <w:rsid w:val="039661F8"/>
    <w:rsid w:val="056823BC"/>
    <w:rsid w:val="05AE36CA"/>
    <w:rsid w:val="1139137C"/>
    <w:rsid w:val="165F65B1"/>
    <w:rsid w:val="1AD973C3"/>
    <w:rsid w:val="251E1960"/>
    <w:rsid w:val="32C42DAD"/>
    <w:rsid w:val="378A5996"/>
    <w:rsid w:val="3A65701F"/>
    <w:rsid w:val="5A3C6978"/>
    <w:rsid w:val="67600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eastAsia="仿宋_GB2312"/>
      <w:kern w:val="2"/>
      <w:sz w:val="18"/>
      <w:szCs w:val="18"/>
    </w:rPr>
  </w:style>
  <w:style w:type="character" w:customStyle="1" w:styleId="8">
    <w:name w:val="页脚 Char"/>
    <w:basedOn w:val="5"/>
    <w:link w:val="3"/>
    <w:qFormat/>
    <w:uiPriority w:val="0"/>
    <w:rPr>
      <w:rFonts w:eastAsia="仿宋_GB2312"/>
      <w:kern w:val="2"/>
      <w:sz w:val="18"/>
      <w:szCs w:val="18"/>
    </w:rPr>
  </w:style>
  <w:style w:type="character" w:customStyle="1" w:styleId="9">
    <w:name w:val="批注框文本 Char"/>
    <w:basedOn w:val="5"/>
    <w:link w:val="2"/>
    <w:qFormat/>
    <w:uiPriority w:val="0"/>
    <w:rPr>
      <w:rFonts w:eastAsia="仿宋_GB2312"/>
      <w:kern w:val="2"/>
      <w:sz w:val="18"/>
      <w:szCs w:val="18"/>
    </w:rPr>
  </w:style>
  <w:style w:type="character" w:customStyle="1" w:styleId="10">
    <w:name w:val="leaidx"/>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437</Words>
  <Characters>2496</Characters>
  <Lines>20</Lines>
  <Paragraphs>5</Paragraphs>
  <TotalTime>0</TotalTime>
  <ScaleCrop>false</ScaleCrop>
  <LinksUpToDate>false</LinksUpToDate>
  <CharactersWithSpaces>2928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dcterms:modified xsi:type="dcterms:W3CDTF">2020-04-27T01:34:54Z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87FB27832C664763B3D357E30C82AE1C</vt:lpwstr>
  </property>
</Properties>
</file>