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34.5pt;margin-top:-35.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(文化站室建设专项经费)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huT4Bw77DFdGi1KuLAWi3VStAhE=" w:salt="kfBdTxe4kq7yMNYcilQEGA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058D"/>
    <w:rsid w:val="173B4F76"/>
    <w:rsid w:val="256E2AE5"/>
    <w:rsid w:val="2B900C49"/>
    <w:rsid w:val="3AB6644E"/>
    <w:rsid w:val="3B024AD9"/>
    <w:rsid w:val="44340880"/>
    <w:rsid w:val="58AF7C2B"/>
    <w:rsid w:val="5B4017AD"/>
    <w:rsid w:val="735768B3"/>
    <w:rsid w:val="7AEF186E"/>
    <w:rsid w:val="7E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B831E606886E45BD87D4D93259A56FBD</vt:lpwstr>
  </property>
</Properties>
</file>