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3" w:rsidRPr="00645BDB" w:rsidRDefault="00F20305" w:rsidP="0046380D">
      <w:pPr>
        <w:spacing w:line="500" w:lineRule="exact"/>
        <w:jc w:val="center"/>
        <w:rPr>
          <w:rFonts w:ascii="方正小标宋_GBK" w:eastAsia="方正小标宋_GBK" w:hAnsiTheme="majorEastAsia"/>
          <w:b/>
          <w:sz w:val="44"/>
          <w:szCs w:val="44"/>
        </w:rPr>
      </w:pPr>
      <w:r w:rsidRPr="00645BDB">
        <w:rPr>
          <w:rFonts w:ascii="方正小标宋_GBK" w:eastAsia="方正小标宋_GBK" w:hAnsiTheme="majorEastAsia" w:hint="eastAsia"/>
          <w:b/>
          <w:sz w:val="44"/>
          <w:szCs w:val="44"/>
        </w:rPr>
        <w:t>呈贡区第</w:t>
      </w:r>
      <w:r w:rsidR="002C314A" w:rsidRPr="00645BDB">
        <w:rPr>
          <w:rFonts w:ascii="方正小标宋_GBK" w:eastAsia="方正小标宋_GBK" w:hAnsiTheme="majorEastAsia" w:hint="eastAsia"/>
          <w:b/>
          <w:sz w:val="44"/>
          <w:szCs w:val="44"/>
        </w:rPr>
        <w:t>四中学</w:t>
      </w:r>
      <w:r w:rsidR="006546A7" w:rsidRPr="00645BDB">
        <w:rPr>
          <w:rFonts w:ascii="方正小标宋_GBK" w:eastAsia="方正小标宋_GBK" w:hAnsiTheme="majorEastAsia" w:hint="eastAsia"/>
          <w:b/>
          <w:sz w:val="44"/>
          <w:szCs w:val="44"/>
        </w:rPr>
        <w:t>整体支出绩效评价报告</w:t>
      </w:r>
    </w:p>
    <w:p w:rsidR="00A60063" w:rsidRPr="00D6246F" w:rsidRDefault="00A60063" w:rsidP="000D70AB">
      <w:pPr>
        <w:spacing w:line="500" w:lineRule="exact"/>
        <w:ind w:firstLineChars="225" w:firstLine="670"/>
        <w:rPr>
          <w:rFonts w:ascii="仿宋_GB2312"/>
          <w:b/>
          <w:szCs w:val="32"/>
        </w:rPr>
      </w:pPr>
    </w:p>
    <w:p w:rsidR="00A60063" w:rsidRPr="00645BDB" w:rsidRDefault="006546A7" w:rsidP="00645BDB">
      <w:pPr>
        <w:topLinePunct/>
        <w:spacing w:line="500" w:lineRule="exact"/>
        <w:ind w:firstLineChars="200" w:firstLine="593"/>
        <w:rPr>
          <w:rFonts w:ascii="方正黑体_GBK" w:eastAsia="方正黑体_GBK" w:hAnsi="黑体"/>
          <w:szCs w:val="32"/>
        </w:rPr>
      </w:pPr>
      <w:r w:rsidRPr="00645BDB">
        <w:rPr>
          <w:rFonts w:ascii="方正黑体_GBK" w:eastAsia="方正黑体_GBK" w:hAnsi="黑体" w:hint="eastAsia"/>
          <w:szCs w:val="32"/>
        </w:rPr>
        <w:t>一、基本情况</w:t>
      </w:r>
    </w:p>
    <w:p w:rsidR="0067124A" w:rsidRPr="0067124A" w:rsidRDefault="006546A7" w:rsidP="005F3813">
      <w:pPr>
        <w:topLinePunct/>
        <w:spacing w:line="560" w:lineRule="exact"/>
        <w:ind w:firstLineChars="200" w:firstLine="593"/>
        <w:rPr>
          <w:rFonts w:ascii="楷体_GB2312" w:eastAsia="楷体_GB2312"/>
          <w:szCs w:val="32"/>
        </w:rPr>
      </w:pPr>
      <w:r w:rsidRPr="00645BDB">
        <w:rPr>
          <w:rFonts w:ascii="楷体_GB2312" w:eastAsia="楷体_GB2312" w:hint="eastAsia"/>
          <w:szCs w:val="32"/>
        </w:rPr>
        <w:t>（一）</w:t>
      </w:r>
      <w:r w:rsidRPr="0067124A">
        <w:rPr>
          <w:rFonts w:ascii="楷体_GB2312" w:eastAsia="楷体_GB2312" w:hint="eastAsia"/>
          <w:szCs w:val="32"/>
        </w:rPr>
        <w:t>部门整体支出概况</w:t>
      </w:r>
    </w:p>
    <w:p w:rsidR="00A60063" w:rsidRPr="0046380D" w:rsidRDefault="006546A7" w:rsidP="005F3813">
      <w:pPr>
        <w:topLinePunct/>
        <w:spacing w:line="560" w:lineRule="exact"/>
        <w:ind w:firstLineChars="200" w:firstLine="593"/>
        <w:rPr>
          <w:rFonts w:ascii="仿宋_GB2312"/>
          <w:sz w:val="28"/>
          <w:szCs w:val="28"/>
        </w:rPr>
      </w:pPr>
      <w:r w:rsidRPr="00645BDB">
        <w:rPr>
          <w:rFonts w:ascii="仿宋_GB2312" w:hint="eastAsia"/>
          <w:szCs w:val="32"/>
        </w:rPr>
        <w:t>年度部门决算收支完成情况，包括收入构成、支出构成、年初预算完成率、当年收支平衡和年终结转结余情况等。</w:t>
      </w:r>
      <w:r w:rsidR="00601882" w:rsidRPr="00F95F22">
        <w:rPr>
          <w:rFonts w:ascii="Times New Roman" w:hAnsi="Times New Roman" w:cs="Times New Roman"/>
          <w:szCs w:val="32"/>
        </w:rPr>
        <w:t>201</w:t>
      </w:r>
      <w:r w:rsidR="00A177D9" w:rsidRPr="00F95F22">
        <w:rPr>
          <w:rFonts w:ascii="Times New Roman" w:hAnsi="Times New Roman" w:cs="Times New Roman"/>
          <w:szCs w:val="32"/>
        </w:rPr>
        <w:t>9</w:t>
      </w:r>
      <w:r w:rsidR="00601882" w:rsidRPr="00645BDB">
        <w:rPr>
          <w:rFonts w:ascii="仿宋_GB2312" w:hint="eastAsia"/>
          <w:szCs w:val="32"/>
        </w:rPr>
        <w:t>年预算安排为</w:t>
      </w:r>
      <w:r w:rsidR="00F86289" w:rsidRPr="00F95F22">
        <w:rPr>
          <w:rFonts w:ascii="Times New Roman" w:hAnsi="Times New Roman" w:cs="Times New Roman" w:hint="eastAsia"/>
          <w:szCs w:val="32"/>
        </w:rPr>
        <w:t>621.67</w:t>
      </w:r>
      <w:r w:rsidR="00EE383F" w:rsidRPr="00645BDB">
        <w:rPr>
          <w:rFonts w:ascii="仿宋_GB2312" w:hint="eastAsia"/>
          <w:szCs w:val="32"/>
        </w:rPr>
        <w:t>万</w:t>
      </w:r>
      <w:r w:rsidR="00601882" w:rsidRPr="00645BDB">
        <w:rPr>
          <w:rFonts w:ascii="仿宋_GB2312" w:hint="eastAsia"/>
          <w:szCs w:val="32"/>
        </w:rPr>
        <w:t>元，其中财政拨款收入</w:t>
      </w:r>
      <w:r w:rsidR="00F86289" w:rsidRPr="00F95F22">
        <w:rPr>
          <w:rFonts w:ascii="Times New Roman" w:hAnsi="Times New Roman" w:cs="Times New Roman" w:hint="eastAsia"/>
          <w:szCs w:val="32"/>
        </w:rPr>
        <w:t>621.67</w:t>
      </w:r>
      <w:r w:rsidR="00EE383F" w:rsidRPr="00645BDB">
        <w:rPr>
          <w:rFonts w:ascii="仿宋_GB2312" w:hint="eastAsia"/>
          <w:szCs w:val="32"/>
        </w:rPr>
        <w:t>万元</w:t>
      </w:r>
      <w:r w:rsidR="00601882" w:rsidRPr="00645BDB">
        <w:rPr>
          <w:rFonts w:ascii="仿宋_GB2312" w:hint="eastAsia"/>
          <w:szCs w:val="32"/>
        </w:rPr>
        <w:t>。</w:t>
      </w:r>
    </w:p>
    <w:p w:rsidR="0067124A" w:rsidRDefault="006546A7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楷体_GB2312" w:eastAsia="楷体_GB2312" w:hint="eastAsia"/>
          <w:szCs w:val="32"/>
        </w:rPr>
        <w:t>（二）</w:t>
      </w:r>
      <w:r w:rsidRPr="0067124A">
        <w:rPr>
          <w:rFonts w:ascii="楷体_GB2312" w:eastAsia="楷体_GB2312" w:hint="eastAsia"/>
          <w:szCs w:val="32"/>
        </w:rPr>
        <w:t>部门整体支出绩效目标</w:t>
      </w:r>
    </w:p>
    <w:p w:rsidR="00A60063" w:rsidRPr="00645BDB" w:rsidRDefault="006546A7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t>主要包括区委、区政府或上级主管部门绩效考核的个性指标、预决算公开、存量资金管理、资产管理、三公经费控制、内部管理制度建设等的设定及完成情况，项目绩效总目标和阶段性目标完成情况及预期经济、社会效益等。</w:t>
      </w:r>
    </w:p>
    <w:p w:rsidR="00E0475E" w:rsidRPr="00645BDB" w:rsidRDefault="00E0475E" w:rsidP="005F3813">
      <w:pPr>
        <w:snapToGrid w:val="0"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t>包括部门（单位）收入、支出年初预算安排情况，与上年对比情况及增减变动原因，年度执行中调整情况，调整原因说明。</w:t>
      </w:r>
    </w:p>
    <w:p w:rsidR="00E510B2" w:rsidRPr="00645BDB" w:rsidRDefault="00E510B2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t>（</w:t>
      </w:r>
      <w:r w:rsidRPr="00F95F22">
        <w:rPr>
          <w:rFonts w:ascii="Times New Roman" w:hAnsi="Times New Roman" w:cs="Times New Roman" w:hint="eastAsia"/>
          <w:szCs w:val="32"/>
        </w:rPr>
        <w:t>1</w:t>
      </w:r>
      <w:r w:rsidRPr="00F95F22">
        <w:rPr>
          <w:rFonts w:ascii="Times New Roman" w:hAnsi="Times New Roman" w:cs="Times New Roman" w:hint="eastAsia"/>
          <w:szCs w:val="32"/>
        </w:rPr>
        <w:t>）</w:t>
      </w:r>
      <w:r w:rsidRPr="00645BDB">
        <w:rPr>
          <w:rFonts w:ascii="仿宋_GB2312" w:hint="eastAsia"/>
          <w:szCs w:val="32"/>
        </w:rPr>
        <w:t>收入分析：</w:t>
      </w:r>
    </w:p>
    <w:p w:rsidR="00E0475E" w:rsidRPr="00645BDB" w:rsidRDefault="00786430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t>201</w:t>
      </w:r>
      <w:r w:rsidR="00A177D9" w:rsidRPr="00F95F22">
        <w:rPr>
          <w:rFonts w:ascii="Times New Roman" w:hAnsi="Times New Roman" w:cs="Times New Roman" w:hint="eastAsia"/>
          <w:szCs w:val="32"/>
        </w:rPr>
        <w:t>9</w:t>
      </w:r>
      <w:r w:rsidRPr="00645BDB">
        <w:rPr>
          <w:rFonts w:ascii="仿宋_GB2312" w:hint="eastAsia"/>
          <w:szCs w:val="32"/>
        </w:rPr>
        <w:t>年收入</w:t>
      </w:r>
      <w:r w:rsidR="00406080" w:rsidRPr="00F95F22">
        <w:rPr>
          <w:rFonts w:ascii="Times New Roman" w:hAnsi="Times New Roman" w:cs="Times New Roman" w:hint="eastAsia"/>
          <w:szCs w:val="32"/>
        </w:rPr>
        <w:t>100</w:t>
      </w:r>
      <w:r w:rsidRPr="00F95F22">
        <w:rPr>
          <w:rFonts w:ascii="Times New Roman" w:hAnsi="Times New Roman" w:cs="Times New Roman" w:hint="eastAsia"/>
          <w:szCs w:val="32"/>
        </w:rPr>
        <w:t>%</w:t>
      </w:r>
      <w:r w:rsidRPr="00645BDB">
        <w:rPr>
          <w:rFonts w:ascii="仿宋_GB2312" w:hint="eastAsia"/>
          <w:szCs w:val="32"/>
        </w:rPr>
        <w:t>为财政拨款，</w:t>
      </w:r>
      <w:r w:rsidR="00406080" w:rsidRPr="00645BDB">
        <w:rPr>
          <w:rFonts w:ascii="仿宋_GB2312" w:hint="eastAsia"/>
          <w:szCs w:val="32"/>
        </w:rPr>
        <w:t>呈贡区财政下达预算经费</w:t>
      </w:r>
      <w:r w:rsidR="00F86289" w:rsidRPr="00F95F22">
        <w:rPr>
          <w:rFonts w:ascii="Times New Roman" w:hAnsi="Times New Roman" w:cs="Times New Roman" w:hint="eastAsia"/>
          <w:szCs w:val="32"/>
        </w:rPr>
        <w:t>621.67</w:t>
      </w:r>
      <w:r w:rsidR="00406080" w:rsidRPr="00645BDB">
        <w:rPr>
          <w:rFonts w:ascii="仿宋_GB2312" w:hint="eastAsia"/>
          <w:szCs w:val="32"/>
        </w:rPr>
        <w:t>万元，第四中学实际收到补助资金</w:t>
      </w:r>
      <w:r w:rsidR="00F86289" w:rsidRPr="00645BDB">
        <w:rPr>
          <w:rFonts w:ascii="仿宋_GB2312" w:hint="eastAsia"/>
          <w:szCs w:val="32"/>
        </w:rPr>
        <w:t>621.67</w:t>
      </w:r>
      <w:r w:rsidR="00406080" w:rsidRPr="00645BDB">
        <w:rPr>
          <w:rFonts w:ascii="仿宋_GB2312" w:hint="eastAsia"/>
          <w:szCs w:val="32"/>
        </w:rPr>
        <w:t>万元。</w:t>
      </w:r>
    </w:p>
    <w:p w:rsidR="00E510B2" w:rsidRPr="00645BDB" w:rsidRDefault="00E510B2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t>（</w:t>
      </w:r>
      <w:r w:rsidRPr="00F95F22">
        <w:rPr>
          <w:rFonts w:ascii="Times New Roman" w:hAnsi="Times New Roman" w:cs="Times New Roman" w:hint="eastAsia"/>
          <w:szCs w:val="32"/>
        </w:rPr>
        <w:t>2</w:t>
      </w:r>
      <w:r w:rsidRPr="00F95F22">
        <w:rPr>
          <w:rFonts w:ascii="Times New Roman" w:hAnsi="Times New Roman" w:cs="Times New Roman" w:hint="eastAsia"/>
          <w:szCs w:val="32"/>
        </w:rPr>
        <w:t>）</w:t>
      </w:r>
      <w:r w:rsidRPr="00645BDB">
        <w:rPr>
          <w:rFonts w:ascii="仿宋_GB2312" w:hint="eastAsia"/>
          <w:szCs w:val="32"/>
        </w:rPr>
        <w:t>支出分析：</w:t>
      </w:r>
    </w:p>
    <w:p w:rsidR="0018206A" w:rsidRPr="00645BDB" w:rsidRDefault="00A177D9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t>2019</w:t>
      </w:r>
      <w:r w:rsidR="00406080" w:rsidRPr="00645BDB">
        <w:rPr>
          <w:rFonts w:ascii="仿宋_GB2312" w:hint="eastAsia"/>
          <w:szCs w:val="32"/>
        </w:rPr>
        <w:t>年支出预算执行基本情况：</w:t>
      </w:r>
      <w:r w:rsidR="00EE383F" w:rsidRPr="00645BDB">
        <w:rPr>
          <w:rFonts w:ascii="仿宋_GB2312" w:hint="eastAsia"/>
          <w:szCs w:val="32"/>
        </w:rPr>
        <w:t>财政拨款收入总体情况为基本支出，分为人员经费支出和日常办公经费支出,共计</w:t>
      </w:r>
      <w:r w:rsidR="00C43E26" w:rsidRPr="00F95F22">
        <w:rPr>
          <w:rFonts w:ascii="Times New Roman" w:hAnsi="Times New Roman" w:cs="Times New Roman" w:hint="eastAsia"/>
          <w:szCs w:val="32"/>
        </w:rPr>
        <w:t>621.67</w:t>
      </w:r>
      <w:r w:rsidR="00406080" w:rsidRPr="00645BDB">
        <w:rPr>
          <w:rFonts w:ascii="仿宋_GB2312" w:hint="eastAsia"/>
          <w:szCs w:val="32"/>
        </w:rPr>
        <w:t>万元</w:t>
      </w:r>
      <w:r w:rsidR="00EE383F" w:rsidRPr="00645BDB">
        <w:rPr>
          <w:rFonts w:ascii="仿宋_GB2312" w:hint="eastAsia"/>
          <w:szCs w:val="32"/>
        </w:rPr>
        <w:t>,</w:t>
      </w:r>
      <w:r w:rsidR="00786430" w:rsidRPr="00645BDB">
        <w:rPr>
          <w:rFonts w:ascii="仿宋_GB2312" w:hint="eastAsia"/>
          <w:szCs w:val="32"/>
        </w:rPr>
        <w:t>其中基本支出</w:t>
      </w:r>
      <w:r w:rsidR="00C43E26" w:rsidRPr="00F95F22">
        <w:rPr>
          <w:rFonts w:ascii="Times New Roman" w:hAnsi="Times New Roman" w:cs="Times New Roman" w:hint="eastAsia"/>
          <w:szCs w:val="32"/>
        </w:rPr>
        <w:t>621.67</w:t>
      </w:r>
      <w:r w:rsidR="00EE383F" w:rsidRPr="00645BDB">
        <w:rPr>
          <w:rFonts w:ascii="仿宋_GB2312" w:hint="eastAsia"/>
          <w:szCs w:val="32"/>
        </w:rPr>
        <w:t>万元</w:t>
      </w:r>
      <w:r w:rsidR="00786430" w:rsidRPr="00645BDB">
        <w:rPr>
          <w:rFonts w:ascii="仿宋_GB2312" w:hint="eastAsia"/>
          <w:szCs w:val="32"/>
        </w:rPr>
        <w:t>，占总支出的</w:t>
      </w:r>
      <w:r w:rsidR="00406080" w:rsidRPr="00F95F22">
        <w:rPr>
          <w:rFonts w:ascii="Times New Roman" w:hAnsi="Times New Roman" w:cs="Times New Roman" w:hint="eastAsia"/>
          <w:szCs w:val="32"/>
        </w:rPr>
        <w:t>100</w:t>
      </w:r>
      <w:r w:rsidR="00786430" w:rsidRPr="00F95F22">
        <w:rPr>
          <w:rFonts w:ascii="Times New Roman" w:hAnsi="Times New Roman" w:cs="Times New Roman" w:hint="eastAsia"/>
          <w:szCs w:val="32"/>
        </w:rPr>
        <w:t>%</w:t>
      </w:r>
      <w:r w:rsidR="00786430" w:rsidRPr="00645BDB">
        <w:rPr>
          <w:rFonts w:ascii="仿宋_GB2312" w:hint="eastAsia"/>
          <w:szCs w:val="32"/>
        </w:rPr>
        <w:t>。</w:t>
      </w:r>
      <w:r w:rsidR="00E510B2" w:rsidRPr="00645BDB">
        <w:rPr>
          <w:rFonts w:ascii="仿宋_GB2312" w:hint="eastAsia"/>
          <w:szCs w:val="32"/>
        </w:rPr>
        <w:t>其中</w:t>
      </w:r>
      <w:r w:rsidR="00597910" w:rsidRPr="00645BDB">
        <w:rPr>
          <w:rFonts w:ascii="仿宋_GB2312" w:hint="eastAsia"/>
          <w:szCs w:val="32"/>
        </w:rPr>
        <w:t>：</w:t>
      </w:r>
      <w:r w:rsidR="00E510B2" w:rsidRPr="00645BDB">
        <w:rPr>
          <w:rFonts w:ascii="仿宋_GB2312" w:hint="eastAsia"/>
          <w:szCs w:val="32"/>
        </w:rPr>
        <w:t>工资福利支出</w:t>
      </w:r>
      <w:r w:rsidR="00C43E26" w:rsidRPr="00F95F22">
        <w:rPr>
          <w:rFonts w:ascii="Times New Roman" w:hAnsi="Times New Roman" w:cs="Times New Roman" w:hint="eastAsia"/>
          <w:szCs w:val="32"/>
        </w:rPr>
        <w:t>618.22</w:t>
      </w:r>
      <w:r w:rsidR="00406080" w:rsidRPr="00645BDB">
        <w:rPr>
          <w:rFonts w:ascii="仿宋_GB2312" w:hint="eastAsia"/>
          <w:szCs w:val="32"/>
        </w:rPr>
        <w:t>万元</w:t>
      </w:r>
      <w:r w:rsidR="00E510B2" w:rsidRPr="00645BDB">
        <w:rPr>
          <w:rFonts w:ascii="仿宋_GB2312" w:hint="eastAsia"/>
          <w:szCs w:val="32"/>
        </w:rPr>
        <w:t>，</w:t>
      </w:r>
      <w:r w:rsidR="00EE383F" w:rsidRPr="00645BDB">
        <w:rPr>
          <w:rFonts w:ascii="仿宋_GB2312" w:hint="eastAsia"/>
          <w:szCs w:val="32"/>
        </w:rPr>
        <w:t>占总支出的比重为</w:t>
      </w:r>
      <w:r w:rsidR="00C43E26" w:rsidRPr="00F95F22">
        <w:rPr>
          <w:rFonts w:ascii="Times New Roman" w:hAnsi="Times New Roman" w:cs="Times New Roman" w:hint="eastAsia"/>
          <w:szCs w:val="32"/>
        </w:rPr>
        <w:t>99.45</w:t>
      </w:r>
      <w:r w:rsidR="00EE383F" w:rsidRPr="00645BDB">
        <w:rPr>
          <w:rFonts w:ascii="仿宋_GB2312" w:hint="eastAsia"/>
          <w:szCs w:val="32"/>
        </w:rPr>
        <w:t>%，</w:t>
      </w:r>
      <w:r w:rsidR="00597910" w:rsidRPr="00645BDB">
        <w:rPr>
          <w:rFonts w:ascii="仿宋_GB2312" w:hint="eastAsia"/>
          <w:szCs w:val="32"/>
        </w:rPr>
        <w:t>；</w:t>
      </w:r>
      <w:r w:rsidR="00EE383F" w:rsidRPr="00645BDB">
        <w:rPr>
          <w:rFonts w:ascii="仿宋_GB2312" w:hint="eastAsia"/>
          <w:szCs w:val="32"/>
        </w:rPr>
        <w:t>商品和服务支出</w:t>
      </w:r>
      <w:r w:rsidR="00C43E26" w:rsidRPr="00F95F22">
        <w:rPr>
          <w:rFonts w:ascii="Times New Roman" w:hAnsi="Times New Roman" w:cs="Times New Roman" w:hint="eastAsia"/>
          <w:szCs w:val="32"/>
        </w:rPr>
        <w:t>3.46</w:t>
      </w:r>
      <w:r w:rsidR="00EE383F" w:rsidRPr="00645BDB">
        <w:rPr>
          <w:rFonts w:ascii="仿宋_GB2312" w:hint="eastAsia"/>
          <w:szCs w:val="32"/>
        </w:rPr>
        <w:t>万元,占本年支出</w:t>
      </w:r>
      <w:r w:rsidR="00C43E26" w:rsidRPr="00F95F22">
        <w:rPr>
          <w:rFonts w:ascii="Times New Roman" w:hAnsi="Times New Roman" w:cs="Times New Roman" w:hint="eastAsia"/>
          <w:szCs w:val="32"/>
        </w:rPr>
        <w:t>0.55</w:t>
      </w:r>
      <w:r w:rsidR="00EE383F" w:rsidRPr="00645BDB">
        <w:rPr>
          <w:rFonts w:ascii="仿宋_GB2312" w:hint="eastAsia"/>
          <w:szCs w:val="32"/>
        </w:rPr>
        <w:t>%。</w:t>
      </w:r>
    </w:p>
    <w:p w:rsidR="0018206A" w:rsidRPr="00645BDB" w:rsidRDefault="0018206A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t>（</w:t>
      </w:r>
      <w:r w:rsidRPr="00F95F22">
        <w:rPr>
          <w:rFonts w:ascii="Times New Roman" w:hAnsi="Times New Roman" w:cs="Times New Roman" w:hint="eastAsia"/>
          <w:szCs w:val="32"/>
        </w:rPr>
        <w:t>3</w:t>
      </w:r>
      <w:r w:rsidRPr="00645BDB">
        <w:rPr>
          <w:rFonts w:ascii="仿宋_GB2312" w:hint="eastAsia"/>
          <w:szCs w:val="32"/>
        </w:rPr>
        <w:t>）</w:t>
      </w:r>
      <w:r w:rsidR="00545E8E" w:rsidRPr="00645BDB">
        <w:rPr>
          <w:rFonts w:ascii="仿宋_GB2312" w:hint="eastAsia"/>
          <w:szCs w:val="32"/>
        </w:rPr>
        <w:t>预</w:t>
      </w:r>
      <w:r w:rsidRPr="00645BDB">
        <w:rPr>
          <w:rFonts w:ascii="仿宋_GB2312" w:hint="eastAsia"/>
          <w:szCs w:val="32"/>
        </w:rPr>
        <w:t>算</w:t>
      </w:r>
      <w:r w:rsidR="003644A4" w:rsidRPr="00645BDB">
        <w:rPr>
          <w:rFonts w:ascii="仿宋_GB2312" w:hint="eastAsia"/>
          <w:szCs w:val="32"/>
        </w:rPr>
        <w:t>、三公经费</w:t>
      </w:r>
      <w:r w:rsidRPr="00645BDB">
        <w:rPr>
          <w:rFonts w:ascii="仿宋_GB2312" w:hint="eastAsia"/>
          <w:szCs w:val="32"/>
        </w:rPr>
        <w:t>公开</w:t>
      </w:r>
    </w:p>
    <w:p w:rsidR="003B465B" w:rsidRPr="00645BDB" w:rsidRDefault="0018206A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lastRenderedPageBreak/>
        <w:t>我单位</w:t>
      </w:r>
      <w:r w:rsidR="00545E8E" w:rsidRPr="00F95F22">
        <w:rPr>
          <w:rFonts w:ascii="Times New Roman" w:hAnsi="Times New Roman" w:cs="Times New Roman" w:hint="eastAsia"/>
          <w:szCs w:val="32"/>
        </w:rPr>
        <w:t>201</w:t>
      </w:r>
      <w:r w:rsidR="00A177D9" w:rsidRPr="00F95F22">
        <w:rPr>
          <w:rFonts w:ascii="Times New Roman" w:hAnsi="Times New Roman" w:cs="Times New Roman" w:hint="eastAsia"/>
          <w:szCs w:val="32"/>
        </w:rPr>
        <w:t>9</w:t>
      </w:r>
      <w:r w:rsidR="00545E8E" w:rsidRPr="00645BDB">
        <w:rPr>
          <w:rFonts w:ascii="仿宋_GB2312" w:hint="eastAsia"/>
          <w:szCs w:val="32"/>
        </w:rPr>
        <w:t>年预</w:t>
      </w:r>
      <w:r w:rsidRPr="00645BDB">
        <w:rPr>
          <w:rFonts w:ascii="仿宋_GB2312" w:hint="eastAsia"/>
          <w:szCs w:val="32"/>
        </w:rPr>
        <w:t>算信息按照政府信息公开相关规定按时按质完成公开，公开时间为</w:t>
      </w:r>
      <w:r w:rsidR="003B465B" w:rsidRPr="00F95F22">
        <w:rPr>
          <w:rFonts w:ascii="Times New Roman" w:hAnsi="Times New Roman" w:cs="Times New Roman" w:hint="eastAsia"/>
          <w:szCs w:val="32"/>
        </w:rPr>
        <w:t>2019</w:t>
      </w:r>
      <w:r w:rsidR="00545E8E" w:rsidRPr="00645BDB">
        <w:rPr>
          <w:rFonts w:ascii="仿宋_GB2312" w:hint="eastAsia"/>
          <w:szCs w:val="32"/>
        </w:rPr>
        <w:t>年</w:t>
      </w:r>
      <w:r w:rsidR="00EE383F" w:rsidRPr="00F95F22">
        <w:rPr>
          <w:rFonts w:ascii="Times New Roman" w:hAnsi="Times New Roman" w:cs="Times New Roman" w:hint="eastAsia"/>
          <w:szCs w:val="32"/>
        </w:rPr>
        <w:t>3</w:t>
      </w:r>
      <w:r w:rsidR="00545E8E" w:rsidRPr="00645BDB">
        <w:rPr>
          <w:rFonts w:ascii="仿宋_GB2312" w:hint="eastAsia"/>
          <w:szCs w:val="32"/>
        </w:rPr>
        <w:t>月</w:t>
      </w:r>
      <w:r w:rsidR="003B465B" w:rsidRPr="00F95F22">
        <w:rPr>
          <w:rFonts w:ascii="Times New Roman" w:hAnsi="Times New Roman" w:cs="Times New Roman" w:hint="eastAsia"/>
          <w:szCs w:val="32"/>
        </w:rPr>
        <w:t>30</w:t>
      </w:r>
      <w:r w:rsidR="00545E8E" w:rsidRPr="00645BDB">
        <w:rPr>
          <w:rFonts w:ascii="仿宋_GB2312" w:hint="eastAsia"/>
          <w:szCs w:val="32"/>
        </w:rPr>
        <w:t>日</w:t>
      </w:r>
      <w:r w:rsidRPr="00645BDB">
        <w:rPr>
          <w:rFonts w:ascii="仿宋_GB2312" w:hint="eastAsia"/>
          <w:szCs w:val="32"/>
        </w:rPr>
        <w:t>，公开网址为：</w:t>
      </w:r>
      <w:hyperlink r:id="rId8" w:tgtFrame="_blank" w:history="1">
        <w:r w:rsidR="003B465B" w:rsidRPr="00645BDB">
          <w:rPr>
            <w:rFonts w:ascii="仿宋_GB2312"/>
            <w:szCs w:val="32"/>
          </w:rPr>
          <w:t>http://cg.km.gov.cn/c/</w:t>
        </w:r>
        <w:r w:rsidR="003B465B" w:rsidRPr="00F95F22">
          <w:rPr>
            <w:rFonts w:ascii="Times New Roman" w:hAnsi="Times New Roman" w:cs="Times New Roman"/>
            <w:szCs w:val="32"/>
          </w:rPr>
          <w:t>2019-03-30/3402811</w:t>
        </w:r>
        <w:r w:rsidR="003B465B" w:rsidRPr="00645BDB">
          <w:rPr>
            <w:rFonts w:ascii="仿宋_GB2312"/>
            <w:szCs w:val="32"/>
          </w:rPr>
          <w:t>.shtml</w:t>
        </w:r>
      </w:hyperlink>
      <w:r w:rsidR="003B465B" w:rsidRPr="00645BDB">
        <w:rPr>
          <w:rFonts w:ascii="仿宋_GB2312"/>
          <w:szCs w:val="32"/>
        </w:rPr>
        <w:t> </w:t>
      </w:r>
    </w:p>
    <w:p w:rsidR="00154CB2" w:rsidRPr="00645BDB" w:rsidRDefault="00154CB2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t>（4）存量资金管理</w:t>
      </w:r>
    </w:p>
    <w:p w:rsidR="00154CB2" w:rsidRPr="00645BDB" w:rsidRDefault="00A67FA2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t>无</w:t>
      </w:r>
    </w:p>
    <w:p w:rsidR="00D71D22" w:rsidRPr="00645BDB" w:rsidRDefault="00D71D22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t>（5）资产管理</w:t>
      </w:r>
    </w:p>
    <w:p w:rsidR="009F1827" w:rsidRPr="00645BDB" w:rsidRDefault="009F1827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t>无</w:t>
      </w:r>
    </w:p>
    <w:p w:rsidR="00085B43" w:rsidRPr="00645BDB" w:rsidRDefault="00085B43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t>（6）内部管理制度建设</w:t>
      </w:r>
    </w:p>
    <w:p w:rsidR="009F1827" w:rsidRPr="00645BDB" w:rsidRDefault="009F1827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645BDB">
        <w:rPr>
          <w:rFonts w:ascii="仿宋_GB2312" w:hint="eastAsia"/>
          <w:szCs w:val="32"/>
        </w:rPr>
        <w:t>呈贡区第四中学是新成立还未建的学校，正在积极的建立和完善各项制度。</w:t>
      </w:r>
    </w:p>
    <w:p w:rsidR="0067124A" w:rsidRDefault="006546A7" w:rsidP="005F3813">
      <w:pPr>
        <w:topLinePunct/>
        <w:spacing w:line="560" w:lineRule="exact"/>
        <w:ind w:firstLineChars="200" w:firstLine="593"/>
        <w:rPr>
          <w:rFonts w:ascii="楷体_GB2312" w:eastAsia="楷体_GB2312"/>
          <w:szCs w:val="32"/>
        </w:rPr>
      </w:pPr>
      <w:r w:rsidRPr="005F3813">
        <w:rPr>
          <w:rFonts w:ascii="楷体_GB2312" w:eastAsia="楷体_GB2312" w:hint="eastAsia"/>
          <w:szCs w:val="32"/>
        </w:rPr>
        <w:t>（三）</w:t>
      </w:r>
      <w:r w:rsidRPr="0067124A">
        <w:rPr>
          <w:rFonts w:ascii="楷体_GB2312" w:eastAsia="楷体_GB2312" w:hint="eastAsia"/>
          <w:szCs w:val="32"/>
        </w:rPr>
        <w:t>部门整体支出或项目实施情况分析</w:t>
      </w:r>
    </w:p>
    <w:p w:rsidR="00A60063" w:rsidRPr="005F3813" w:rsidRDefault="006546A7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主要包括资金到位、资金使用、资金管理、项目组织和项目管理情况分析等。</w:t>
      </w:r>
    </w:p>
    <w:p w:rsidR="00645082" w:rsidRPr="005F3813" w:rsidRDefault="00645082" w:rsidP="005F3813">
      <w:pPr>
        <w:snapToGrid w:val="0"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我单位</w:t>
      </w:r>
      <w:r w:rsidR="009F1827" w:rsidRPr="005F3813">
        <w:rPr>
          <w:rFonts w:ascii="仿宋_GB2312" w:hint="eastAsia"/>
          <w:szCs w:val="32"/>
        </w:rPr>
        <w:t>按照</w:t>
      </w:r>
      <w:r w:rsidRPr="005F3813">
        <w:rPr>
          <w:rFonts w:ascii="仿宋_GB2312" w:hint="eastAsia"/>
          <w:szCs w:val="32"/>
        </w:rPr>
        <w:t>国家财经法</w:t>
      </w:r>
      <w:r w:rsidR="002C3A88" w:rsidRPr="005F3813">
        <w:rPr>
          <w:rFonts w:ascii="仿宋_GB2312" w:hint="eastAsia"/>
          <w:szCs w:val="32"/>
        </w:rPr>
        <w:t>规</w:t>
      </w:r>
      <w:r w:rsidRPr="005F3813">
        <w:rPr>
          <w:rFonts w:ascii="仿宋_GB2312" w:hint="eastAsia"/>
          <w:szCs w:val="32"/>
        </w:rPr>
        <w:t>规定和财务管理制度规定以及相关资金管理办法的规定，对资金的拨付有完整的审批程序和手续，资金使用符合预算批复的用途，不存在截留、挤占、挪用、虚列支情况。</w:t>
      </w:r>
    </w:p>
    <w:p w:rsidR="00A60063" w:rsidRPr="00645BDB" w:rsidRDefault="006546A7" w:rsidP="00645BDB">
      <w:pPr>
        <w:topLinePunct/>
        <w:spacing w:line="500" w:lineRule="exact"/>
        <w:ind w:firstLineChars="200" w:firstLine="593"/>
        <w:rPr>
          <w:rFonts w:ascii="方正黑体_GBK" w:eastAsia="方正黑体_GBK" w:hAnsi="黑体"/>
          <w:szCs w:val="32"/>
        </w:rPr>
      </w:pPr>
      <w:r w:rsidRPr="00645BDB">
        <w:rPr>
          <w:rFonts w:ascii="方正黑体_GBK" w:eastAsia="方正黑体_GBK" w:hAnsi="黑体" w:hint="eastAsia"/>
          <w:szCs w:val="32"/>
        </w:rPr>
        <w:t>二、绩效评价工作情况</w:t>
      </w:r>
    </w:p>
    <w:p w:rsidR="005F3813" w:rsidRPr="005F3813" w:rsidRDefault="006546A7" w:rsidP="005F3813">
      <w:pPr>
        <w:topLinePunct/>
        <w:spacing w:line="560" w:lineRule="exact"/>
        <w:ind w:firstLineChars="200" w:firstLine="593"/>
        <w:rPr>
          <w:rFonts w:ascii="楷体_GB2312" w:eastAsia="楷体_GB2312"/>
          <w:szCs w:val="32"/>
        </w:rPr>
      </w:pPr>
      <w:r w:rsidRPr="005F3813">
        <w:rPr>
          <w:rFonts w:ascii="楷体_GB2312" w:eastAsia="楷体_GB2312" w:hint="eastAsia"/>
          <w:szCs w:val="32"/>
        </w:rPr>
        <w:t>（一）绩效评价目的</w:t>
      </w:r>
    </w:p>
    <w:p w:rsidR="008511BF" w:rsidRPr="005F3813" w:rsidRDefault="008511BF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通过绩效评价，总结资金使用过程的经验和不足，提高专项资金的安全性、规范性和效益性，完善计划项目经费管理办法和项目管理办法，为下年度的实施和资金分配提供依据。</w:t>
      </w:r>
    </w:p>
    <w:p w:rsidR="005F3813" w:rsidRDefault="006546A7" w:rsidP="005F3813">
      <w:pPr>
        <w:topLinePunct/>
        <w:spacing w:line="560" w:lineRule="exact"/>
        <w:ind w:firstLineChars="200" w:firstLine="593"/>
        <w:rPr>
          <w:rFonts w:ascii="楷体_GB2312" w:eastAsia="楷体_GB2312"/>
          <w:szCs w:val="32"/>
        </w:rPr>
      </w:pPr>
      <w:r w:rsidRPr="005F3813">
        <w:rPr>
          <w:rFonts w:ascii="楷体_GB2312" w:eastAsia="楷体_GB2312" w:hint="eastAsia"/>
          <w:szCs w:val="32"/>
        </w:rPr>
        <w:t>（二）绩效评价工作过程</w:t>
      </w:r>
    </w:p>
    <w:p w:rsidR="00A60063" w:rsidRPr="005F3813" w:rsidRDefault="006546A7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主要包括前期准备、组织实施和分析评价等内容。</w:t>
      </w:r>
    </w:p>
    <w:p w:rsidR="008511BF" w:rsidRPr="005F3813" w:rsidRDefault="008511BF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lastRenderedPageBreak/>
        <w:t>1</w:t>
      </w:r>
      <w:r w:rsidRPr="005F3813">
        <w:rPr>
          <w:rFonts w:ascii="仿宋_GB2312" w:hint="eastAsia"/>
          <w:szCs w:val="32"/>
        </w:rPr>
        <w:t>、前期准备</w:t>
      </w:r>
    </w:p>
    <w:p w:rsidR="008511BF" w:rsidRPr="005F3813" w:rsidRDefault="008511BF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负责人对本年度开展工作进行总结，并对下一年度工作开展提出计划。</w:t>
      </w:r>
    </w:p>
    <w:p w:rsidR="008511BF" w:rsidRPr="005F3813" w:rsidRDefault="008511BF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t>2</w:t>
      </w:r>
      <w:r w:rsidRPr="005F3813">
        <w:rPr>
          <w:rFonts w:ascii="仿宋_GB2312" w:hint="eastAsia"/>
          <w:szCs w:val="32"/>
        </w:rPr>
        <w:t>、组织实施</w:t>
      </w:r>
    </w:p>
    <w:p w:rsidR="008511BF" w:rsidRPr="005F3813" w:rsidRDefault="008511BF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根据文件要求，负责人对资金使用进行总结，撰写上报绩效评价报告。</w:t>
      </w:r>
    </w:p>
    <w:p w:rsidR="008511BF" w:rsidRPr="005F3813" w:rsidRDefault="008511BF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t>3</w:t>
      </w:r>
      <w:r w:rsidRPr="005F3813">
        <w:rPr>
          <w:rFonts w:ascii="仿宋_GB2312" w:hint="eastAsia"/>
          <w:szCs w:val="32"/>
        </w:rPr>
        <w:t>、分析评价</w:t>
      </w:r>
    </w:p>
    <w:p w:rsidR="008511BF" w:rsidRPr="005F3813" w:rsidRDefault="00173E23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根据资金使用情况，我</w:t>
      </w:r>
      <w:r w:rsidR="002C3A88" w:rsidRPr="005F3813">
        <w:rPr>
          <w:rFonts w:ascii="仿宋_GB2312" w:hint="eastAsia"/>
          <w:szCs w:val="32"/>
        </w:rPr>
        <w:t>单位</w:t>
      </w:r>
      <w:r w:rsidR="008511BF" w:rsidRPr="005F3813">
        <w:rPr>
          <w:rFonts w:ascii="仿宋_GB2312" w:hint="eastAsia"/>
          <w:szCs w:val="32"/>
        </w:rPr>
        <w:t>完成预算目标，经费使用规范、高效安全。</w:t>
      </w:r>
    </w:p>
    <w:p w:rsidR="008511BF" w:rsidRPr="00645BDB" w:rsidRDefault="006546A7" w:rsidP="00645BDB">
      <w:pPr>
        <w:topLinePunct/>
        <w:spacing w:line="500" w:lineRule="exact"/>
        <w:ind w:firstLineChars="200" w:firstLine="593"/>
        <w:rPr>
          <w:rFonts w:ascii="方正黑体_GBK" w:eastAsia="方正黑体_GBK" w:hAnsi="黑体"/>
          <w:szCs w:val="32"/>
        </w:rPr>
      </w:pPr>
      <w:r w:rsidRPr="00645BDB">
        <w:rPr>
          <w:rFonts w:ascii="方正黑体_GBK" w:eastAsia="方正黑体_GBK" w:hAnsi="黑体" w:hint="eastAsia"/>
          <w:szCs w:val="32"/>
        </w:rPr>
        <w:t>三、主要绩效及评价结论</w:t>
      </w:r>
    </w:p>
    <w:p w:rsidR="009F1827" w:rsidRPr="005F3813" w:rsidRDefault="009F1827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呈贡区第四中学是新成立的学校，还未开始招生办学，但有人员支出，财务工作开展情况均按上级主管部门要求，认真完成。</w:t>
      </w:r>
    </w:p>
    <w:p w:rsidR="00A60063" w:rsidRPr="00645BDB" w:rsidRDefault="006546A7" w:rsidP="00645BDB">
      <w:pPr>
        <w:topLinePunct/>
        <w:spacing w:line="500" w:lineRule="exact"/>
        <w:ind w:firstLineChars="200" w:firstLine="593"/>
        <w:rPr>
          <w:rFonts w:ascii="方正黑体_GBK" w:eastAsia="方正黑体_GBK" w:hAnsi="黑体"/>
          <w:szCs w:val="32"/>
        </w:rPr>
      </w:pPr>
      <w:r w:rsidRPr="00645BDB">
        <w:rPr>
          <w:rFonts w:ascii="方正黑体_GBK" w:eastAsia="方正黑体_GBK" w:hAnsi="黑体" w:hint="eastAsia"/>
          <w:szCs w:val="32"/>
        </w:rPr>
        <w:t>四、存在的问题</w:t>
      </w:r>
    </w:p>
    <w:p w:rsidR="005F3813" w:rsidRPr="005F3813" w:rsidRDefault="005F3813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预算绩效管理工作具有政策性强、专业性强、涉及面广、操作难度大等特点。评价指标体系需要进一步完善</w:t>
      </w:r>
      <w:r>
        <w:rPr>
          <w:rFonts w:ascii="仿宋_GB2312" w:hint="eastAsia"/>
          <w:szCs w:val="32"/>
        </w:rPr>
        <w:t>,</w:t>
      </w:r>
      <w:r w:rsidRPr="005F3813">
        <w:rPr>
          <w:rFonts w:ascii="仿宋_GB2312" w:hint="eastAsia"/>
          <w:szCs w:val="32"/>
        </w:rPr>
        <w:t>真正能体现项目效果的个性指标，由于设置难度较大，还不能满足目前工作开展需要。由于预算绩效管理工作开展时间较短，加上缺乏系统的培训，对预算绩效管理认识不到位、理解不充分，对预算绩效管理业务不了解、不熟悉，对工作重点把握不到位，由此造成绩效评价存在不确定性。</w:t>
      </w:r>
    </w:p>
    <w:p w:rsidR="00A60063" w:rsidRPr="00645BDB" w:rsidRDefault="006546A7" w:rsidP="00645BDB">
      <w:pPr>
        <w:topLinePunct/>
        <w:spacing w:line="500" w:lineRule="exact"/>
        <w:ind w:firstLineChars="200" w:firstLine="593"/>
        <w:rPr>
          <w:rFonts w:ascii="方正黑体_GBK" w:eastAsia="方正黑体_GBK" w:hAnsi="黑体"/>
          <w:szCs w:val="32"/>
        </w:rPr>
      </w:pPr>
      <w:r w:rsidRPr="00645BDB">
        <w:rPr>
          <w:rFonts w:ascii="方正黑体_GBK" w:eastAsia="方正黑体_GBK" w:hAnsi="黑体" w:hint="eastAsia"/>
          <w:szCs w:val="32"/>
        </w:rPr>
        <w:t>五、有关建议</w:t>
      </w:r>
    </w:p>
    <w:p w:rsidR="00D66B53" w:rsidRPr="005F3813" w:rsidRDefault="00D66B53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在绩效目标管理方面，对于运转保障类项目较多的单位，建议实施单位整体支出绩效目标管理，施行整体支出评价。将符合当前预算绩效管理要求和行业管理特点的个性指标汇编成库</w:t>
      </w:r>
      <w:r w:rsidR="005F3813">
        <w:rPr>
          <w:rFonts w:ascii="仿宋_GB2312" w:hint="eastAsia"/>
          <w:szCs w:val="32"/>
        </w:rPr>
        <w:t>,</w:t>
      </w:r>
      <w:r w:rsidRPr="005F3813">
        <w:rPr>
          <w:rFonts w:ascii="仿宋_GB2312" w:hint="eastAsia"/>
          <w:szCs w:val="32"/>
        </w:rPr>
        <w:t>加</w:t>
      </w:r>
      <w:r w:rsidRPr="005F3813">
        <w:rPr>
          <w:rFonts w:ascii="仿宋_GB2312" w:hint="eastAsia"/>
          <w:szCs w:val="32"/>
        </w:rPr>
        <w:lastRenderedPageBreak/>
        <w:t>强培训和指导。采取集中学习、讲座、专题会议等方式，加大对财政部门和中介机构参与绩效评价的人员培训力度，进一步统一认识，充实业务知识。对绩效评价结果应用进一步明确，提高操作性。</w:t>
      </w:r>
    </w:p>
    <w:p w:rsidR="00A60063" w:rsidRPr="00645BDB" w:rsidRDefault="006546A7" w:rsidP="00645BDB">
      <w:pPr>
        <w:topLinePunct/>
        <w:spacing w:line="500" w:lineRule="exact"/>
        <w:ind w:firstLineChars="200" w:firstLine="593"/>
        <w:rPr>
          <w:rFonts w:ascii="方正黑体_GBK" w:eastAsia="方正黑体_GBK" w:hAnsi="黑体"/>
          <w:szCs w:val="32"/>
        </w:rPr>
      </w:pPr>
      <w:r w:rsidRPr="00645BDB">
        <w:rPr>
          <w:rFonts w:ascii="方正黑体_GBK" w:eastAsia="方正黑体_GBK" w:hAnsi="黑体" w:hint="eastAsia"/>
          <w:szCs w:val="32"/>
        </w:rPr>
        <w:t>六、其他需要说明的问题</w:t>
      </w:r>
    </w:p>
    <w:p w:rsidR="00D66B53" w:rsidRPr="005F3813" w:rsidRDefault="00D66B53" w:rsidP="005F3813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 w:rsidRPr="005F3813">
        <w:rPr>
          <w:rFonts w:ascii="仿宋_GB2312" w:hint="eastAsia"/>
          <w:szCs w:val="32"/>
        </w:rPr>
        <w:t>无</w:t>
      </w:r>
    </w:p>
    <w:p w:rsidR="00D66B53" w:rsidRPr="0046380D" w:rsidRDefault="00D66B53" w:rsidP="0046380D">
      <w:pPr>
        <w:spacing w:line="500" w:lineRule="exact"/>
        <w:rPr>
          <w:rFonts w:ascii="仿宋_GB2312"/>
          <w:sz w:val="28"/>
          <w:szCs w:val="28"/>
        </w:rPr>
      </w:pPr>
    </w:p>
    <w:p w:rsidR="00C560D1" w:rsidRPr="0046380D" w:rsidRDefault="00C560D1" w:rsidP="0046380D">
      <w:pPr>
        <w:spacing w:line="500" w:lineRule="exact"/>
        <w:rPr>
          <w:rFonts w:ascii="仿宋_GB2312"/>
          <w:sz w:val="28"/>
          <w:szCs w:val="28"/>
        </w:rPr>
      </w:pPr>
    </w:p>
    <w:p w:rsidR="00D6246F" w:rsidRPr="005F3813" w:rsidRDefault="00D6246F" w:rsidP="0046380D">
      <w:pPr>
        <w:spacing w:line="500" w:lineRule="exact"/>
        <w:jc w:val="right"/>
        <w:rPr>
          <w:rFonts w:ascii="仿宋_GB2312"/>
          <w:szCs w:val="32"/>
        </w:rPr>
      </w:pPr>
    </w:p>
    <w:p w:rsidR="00D66B53" w:rsidRPr="005F3813" w:rsidRDefault="009F1827" w:rsidP="005F3813">
      <w:pPr>
        <w:spacing w:line="560" w:lineRule="exact"/>
        <w:jc w:val="right"/>
        <w:rPr>
          <w:rFonts w:ascii="仿宋_GB2312"/>
          <w:szCs w:val="32"/>
        </w:rPr>
      </w:pPr>
      <w:bookmarkStart w:id="0" w:name="_GoBack"/>
      <w:bookmarkEnd w:id="0"/>
      <w:r w:rsidRPr="005F3813">
        <w:rPr>
          <w:rFonts w:ascii="仿宋_GB2312" w:hint="eastAsia"/>
          <w:szCs w:val="32"/>
        </w:rPr>
        <w:t>昆明市呈贡区第四中学</w:t>
      </w:r>
    </w:p>
    <w:p w:rsidR="00D66B53" w:rsidRPr="005F3813" w:rsidRDefault="00A177D9" w:rsidP="005F3813">
      <w:pPr>
        <w:spacing w:line="560" w:lineRule="exact"/>
        <w:ind w:right="296" w:firstLineChars="200" w:firstLine="593"/>
        <w:jc w:val="right"/>
        <w:rPr>
          <w:rFonts w:ascii="仿宋_GB2312"/>
          <w:szCs w:val="32"/>
        </w:rPr>
      </w:pPr>
      <w:r w:rsidRPr="00F95F22">
        <w:rPr>
          <w:rFonts w:ascii="Times New Roman" w:hAnsi="Times New Roman" w:cs="Times New Roman" w:hint="eastAsia"/>
          <w:szCs w:val="32"/>
        </w:rPr>
        <w:t>2020</w:t>
      </w:r>
      <w:r w:rsidR="00D66B53" w:rsidRPr="005F3813">
        <w:rPr>
          <w:rFonts w:ascii="仿宋_GB2312" w:hint="eastAsia"/>
          <w:szCs w:val="32"/>
        </w:rPr>
        <w:t>年</w:t>
      </w:r>
      <w:r w:rsidR="009F1827" w:rsidRPr="00F95F22">
        <w:rPr>
          <w:rFonts w:ascii="Times New Roman" w:hAnsi="Times New Roman" w:cs="Times New Roman" w:hint="eastAsia"/>
          <w:szCs w:val="32"/>
        </w:rPr>
        <w:t>3</w:t>
      </w:r>
      <w:r w:rsidR="00D66B53" w:rsidRPr="005F3813">
        <w:rPr>
          <w:rFonts w:ascii="仿宋_GB2312" w:hint="eastAsia"/>
          <w:szCs w:val="32"/>
        </w:rPr>
        <w:t>月</w:t>
      </w:r>
      <w:r w:rsidRPr="00F95F22">
        <w:rPr>
          <w:rFonts w:ascii="Times New Roman" w:hAnsi="Times New Roman" w:cs="Times New Roman" w:hint="eastAsia"/>
          <w:szCs w:val="32"/>
        </w:rPr>
        <w:t>25</w:t>
      </w:r>
      <w:r w:rsidR="00D66B53" w:rsidRPr="005F3813">
        <w:rPr>
          <w:rFonts w:ascii="仿宋_GB2312" w:hint="eastAsia"/>
          <w:szCs w:val="32"/>
        </w:rPr>
        <w:t>日</w:t>
      </w:r>
    </w:p>
    <w:p w:rsidR="00A60063" w:rsidRPr="005F3813" w:rsidRDefault="00A60063" w:rsidP="005F3813">
      <w:pPr>
        <w:spacing w:line="560" w:lineRule="exact"/>
        <w:rPr>
          <w:rFonts w:ascii="仿宋_GB2312"/>
          <w:sz w:val="28"/>
          <w:szCs w:val="28"/>
        </w:rPr>
      </w:pPr>
    </w:p>
    <w:sectPr w:rsidR="00A60063" w:rsidRPr="005F3813" w:rsidSect="00FE3764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33" w:rsidRDefault="009B2233" w:rsidP="002C314A">
      <w:r>
        <w:separator/>
      </w:r>
    </w:p>
  </w:endnote>
  <w:endnote w:type="continuationSeparator" w:id="1">
    <w:p w:rsidR="009B2233" w:rsidRDefault="009B2233" w:rsidP="002C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33" w:rsidRDefault="009B2233" w:rsidP="002C314A">
      <w:r>
        <w:separator/>
      </w:r>
    </w:p>
  </w:footnote>
  <w:footnote w:type="continuationSeparator" w:id="1">
    <w:p w:rsidR="009B2233" w:rsidRDefault="009B2233" w:rsidP="002C3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06F"/>
    <w:multiLevelType w:val="hybridMultilevel"/>
    <w:tmpl w:val="F142F6E6"/>
    <w:lvl w:ilvl="0" w:tplc="361EA1A0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3" w:hanging="420"/>
      </w:pPr>
    </w:lvl>
    <w:lvl w:ilvl="2" w:tplc="0409001B" w:tentative="1">
      <w:start w:val="1"/>
      <w:numFmt w:val="lowerRoman"/>
      <w:lvlText w:val="%3."/>
      <w:lvlJc w:val="righ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9" w:tentative="1">
      <w:start w:val="1"/>
      <w:numFmt w:val="lowerLetter"/>
      <w:lvlText w:val="%5)"/>
      <w:lvlJc w:val="left"/>
      <w:pPr>
        <w:ind w:left="2603" w:hanging="420"/>
      </w:pPr>
    </w:lvl>
    <w:lvl w:ilvl="5" w:tplc="0409001B" w:tentative="1">
      <w:start w:val="1"/>
      <w:numFmt w:val="lowerRoman"/>
      <w:lvlText w:val="%6."/>
      <w:lvlJc w:val="righ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9" w:tentative="1">
      <w:start w:val="1"/>
      <w:numFmt w:val="lowerLetter"/>
      <w:lvlText w:val="%8)"/>
      <w:lvlJc w:val="left"/>
      <w:pPr>
        <w:ind w:left="3863" w:hanging="420"/>
      </w:pPr>
    </w:lvl>
    <w:lvl w:ilvl="8" w:tplc="0409001B" w:tentative="1">
      <w:start w:val="1"/>
      <w:numFmt w:val="lowerRoman"/>
      <w:lvlText w:val="%9."/>
      <w:lvlJc w:val="right"/>
      <w:pPr>
        <w:ind w:left="4283" w:hanging="420"/>
      </w:pPr>
    </w:lvl>
  </w:abstractNum>
  <w:abstractNum w:abstractNumId="1">
    <w:nsid w:val="126C7276"/>
    <w:multiLevelType w:val="hybridMultilevel"/>
    <w:tmpl w:val="75C6AE32"/>
    <w:lvl w:ilvl="0" w:tplc="39CCA43E">
      <w:start w:val="4"/>
      <w:numFmt w:val="decimalEnclosedCircle"/>
      <w:lvlText w:val="%1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3" w:hanging="420"/>
      </w:pPr>
    </w:lvl>
    <w:lvl w:ilvl="2" w:tplc="0409001B" w:tentative="1">
      <w:start w:val="1"/>
      <w:numFmt w:val="lowerRoman"/>
      <w:lvlText w:val="%3."/>
      <w:lvlJc w:val="righ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9" w:tentative="1">
      <w:start w:val="1"/>
      <w:numFmt w:val="lowerLetter"/>
      <w:lvlText w:val="%5)"/>
      <w:lvlJc w:val="left"/>
      <w:pPr>
        <w:ind w:left="3053" w:hanging="420"/>
      </w:pPr>
    </w:lvl>
    <w:lvl w:ilvl="5" w:tplc="0409001B" w:tentative="1">
      <w:start w:val="1"/>
      <w:numFmt w:val="lowerRoman"/>
      <w:lvlText w:val="%6."/>
      <w:lvlJc w:val="righ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9" w:tentative="1">
      <w:start w:val="1"/>
      <w:numFmt w:val="lowerLetter"/>
      <w:lvlText w:val="%8)"/>
      <w:lvlJc w:val="left"/>
      <w:pPr>
        <w:ind w:left="4313" w:hanging="420"/>
      </w:pPr>
    </w:lvl>
    <w:lvl w:ilvl="8" w:tplc="0409001B" w:tentative="1">
      <w:start w:val="1"/>
      <w:numFmt w:val="lowerRoman"/>
      <w:lvlText w:val="%9."/>
      <w:lvlJc w:val="right"/>
      <w:pPr>
        <w:ind w:left="4733" w:hanging="420"/>
      </w:pPr>
    </w:lvl>
  </w:abstractNum>
  <w:abstractNum w:abstractNumId="2">
    <w:nsid w:val="6EE22D9E"/>
    <w:multiLevelType w:val="hybridMultilevel"/>
    <w:tmpl w:val="ED8CBBFA"/>
    <w:lvl w:ilvl="0" w:tplc="8A80CCB6">
      <w:start w:val="2"/>
      <w:numFmt w:val="decimalEnclosedCircle"/>
      <w:lvlText w:val="%1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3" w:hanging="420"/>
      </w:pPr>
    </w:lvl>
    <w:lvl w:ilvl="2" w:tplc="0409001B" w:tentative="1">
      <w:start w:val="1"/>
      <w:numFmt w:val="lowerRoman"/>
      <w:lvlText w:val="%3."/>
      <w:lvlJc w:val="righ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9" w:tentative="1">
      <w:start w:val="1"/>
      <w:numFmt w:val="lowerLetter"/>
      <w:lvlText w:val="%5)"/>
      <w:lvlJc w:val="left"/>
      <w:pPr>
        <w:ind w:left="2693" w:hanging="420"/>
      </w:pPr>
    </w:lvl>
    <w:lvl w:ilvl="5" w:tplc="0409001B" w:tentative="1">
      <w:start w:val="1"/>
      <w:numFmt w:val="lowerRoman"/>
      <w:lvlText w:val="%6."/>
      <w:lvlJc w:val="righ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9" w:tentative="1">
      <w:start w:val="1"/>
      <w:numFmt w:val="lowerLetter"/>
      <w:lvlText w:val="%8)"/>
      <w:lvlJc w:val="left"/>
      <w:pPr>
        <w:ind w:left="3953" w:hanging="420"/>
      </w:pPr>
    </w:lvl>
    <w:lvl w:ilvl="8" w:tplc="0409001B" w:tentative="1">
      <w:start w:val="1"/>
      <w:numFmt w:val="lowerRoman"/>
      <w:lvlText w:val="%9."/>
      <w:lvlJc w:val="right"/>
      <w:pPr>
        <w:ind w:left="437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063"/>
    <w:rsid w:val="00085B43"/>
    <w:rsid w:val="000D70AB"/>
    <w:rsid w:val="00134C1C"/>
    <w:rsid w:val="00151FBC"/>
    <w:rsid w:val="00154CB2"/>
    <w:rsid w:val="00173E23"/>
    <w:rsid w:val="0018206A"/>
    <w:rsid w:val="00236FCA"/>
    <w:rsid w:val="00272F97"/>
    <w:rsid w:val="002855B7"/>
    <w:rsid w:val="00285FF6"/>
    <w:rsid w:val="002C314A"/>
    <w:rsid w:val="002C3A88"/>
    <w:rsid w:val="0033272B"/>
    <w:rsid w:val="003574A7"/>
    <w:rsid w:val="003644A4"/>
    <w:rsid w:val="003B465B"/>
    <w:rsid w:val="00406080"/>
    <w:rsid w:val="0046380D"/>
    <w:rsid w:val="00507137"/>
    <w:rsid w:val="005106E5"/>
    <w:rsid w:val="00526CAE"/>
    <w:rsid w:val="00545E8E"/>
    <w:rsid w:val="005467B8"/>
    <w:rsid w:val="00597910"/>
    <w:rsid w:val="005C2DD6"/>
    <w:rsid w:val="005E2088"/>
    <w:rsid w:val="005F3813"/>
    <w:rsid w:val="00601882"/>
    <w:rsid w:val="00645082"/>
    <w:rsid w:val="00645BDB"/>
    <w:rsid w:val="006546A7"/>
    <w:rsid w:val="0067124A"/>
    <w:rsid w:val="006C00CF"/>
    <w:rsid w:val="006C1212"/>
    <w:rsid w:val="006C27F3"/>
    <w:rsid w:val="00772C9E"/>
    <w:rsid w:val="00786430"/>
    <w:rsid w:val="007A12B2"/>
    <w:rsid w:val="00830EA0"/>
    <w:rsid w:val="008463E4"/>
    <w:rsid w:val="008511BF"/>
    <w:rsid w:val="008670B7"/>
    <w:rsid w:val="008C3814"/>
    <w:rsid w:val="008E775D"/>
    <w:rsid w:val="008F69B8"/>
    <w:rsid w:val="009463D7"/>
    <w:rsid w:val="0099318E"/>
    <w:rsid w:val="009B2233"/>
    <w:rsid w:val="009F1827"/>
    <w:rsid w:val="00A15F83"/>
    <w:rsid w:val="00A177D9"/>
    <w:rsid w:val="00A33BDF"/>
    <w:rsid w:val="00A60063"/>
    <w:rsid w:val="00A67FA2"/>
    <w:rsid w:val="00A84BCF"/>
    <w:rsid w:val="00C43E26"/>
    <w:rsid w:val="00C560D1"/>
    <w:rsid w:val="00C9002E"/>
    <w:rsid w:val="00CB70A7"/>
    <w:rsid w:val="00CD48F5"/>
    <w:rsid w:val="00D6246F"/>
    <w:rsid w:val="00D66B53"/>
    <w:rsid w:val="00D71D22"/>
    <w:rsid w:val="00D73812"/>
    <w:rsid w:val="00E0475E"/>
    <w:rsid w:val="00E510B2"/>
    <w:rsid w:val="00EB15CA"/>
    <w:rsid w:val="00EC698A"/>
    <w:rsid w:val="00EE383F"/>
    <w:rsid w:val="00F20305"/>
    <w:rsid w:val="00F86289"/>
    <w:rsid w:val="00F95F22"/>
    <w:rsid w:val="00FE3764"/>
    <w:rsid w:val="1A055A28"/>
    <w:rsid w:val="40B2169B"/>
    <w:rsid w:val="411B32C9"/>
    <w:rsid w:val="6DB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764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97910"/>
    <w:pPr>
      <w:ind w:firstLineChars="200" w:firstLine="420"/>
    </w:pPr>
  </w:style>
  <w:style w:type="character" w:styleId="a4">
    <w:name w:val="Hyperlink"/>
    <w:basedOn w:val="a0"/>
    <w:rsid w:val="00154CB2"/>
    <w:rPr>
      <w:color w:val="0563C1" w:themeColor="hyperlink"/>
      <w:u w:val="single"/>
    </w:rPr>
  </w:style>
  <w:style w:type="character" w:styleId="a5">
    <w:name w:val="FollowedHyperlink"/>
    <w:basedOn w:val="a0"/>
    <w:rsid w:val="00173E23"/>
    <w:rPr>
      <w:color w:val="954F72" w:themeColor="followedHyperlink"/>
      <w:u w:val="single"/>
    </w:rPr>
  </w:style>
  <w:style w:type="paragraph" w:styleId="a6">
    <w:name w:val="Balloon Text"/>
    <w:basedOn w:val="a"/>
    <w:link w:val="Char"/>
    <w:rsid w:val="00D6246F"/>
    <w:rPr>
      <w:sz w:val="18"/>
      <w:szCs w:val="18"/>
    </w:rPr>
  </w:style>
  <w:style w:type="character" w:customStyle="1" w:styleId="Char">
    <w:name w:val="批注框文本 Char"/>
    <w:basedOn w:val="a0"/>
    <w:link w:val="a6"/>
    <w:rsid w:val="00D6246F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0"/>
    <w:rsid w:val="002C3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C314A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1"/>
    <w:rsid w:val="002C3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C314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97910"/>
    <w:pPr>
      <w:ind w:firstLineChars="200" w:firstLine="420"/>
    </w:pPr>
  </w:style>
  <w:style w:type="character" w:styleId="a4">
    <w:name w:val="Hyperlink"/>
    <w:basedOn w:val="a0"/>
    <w:rsid w:val="00154CB2"/>
    <w:rPr>
      <w:color w:val="0563C1" w:themeColor="hyperlink"/>
      <w:u w:val="single"/>
    </w:rPr>
  </w:style>
  <w:style w:type="character" w:styleId="a5">
    <w:name w:val="FollowedHyperlink"/>
    <w:basedOn w:val="a0"/>
    <w:rsid w:val="00173E23"/>
    <w:rPr>
      <w:color w:val="954F72" w:themeColor="followedHyperlink"/>
      <w:u w:val="single"/>
    </w:rPr>
  </w:style>
  <w:style w:type="paragraph" w:styleId="a6">
    <w:name w:val="Balloon Text"/>
    <w:basedOn w:val="a"/>
    <w:link w:val="Char"/>
    <w:rsid w:val="00D6246F"/>
    <w:rPr>
      <w:sz w:val="18"/>
      <w:szCs w:val="18"/>
    </w:rPr>
  </w:style>
  <w:style w:type="character" w:customStyle="1" w:styleId="Char">
    <w:name w:val="批注框文本 Char"/>
    <w:basedOn w:val="a0"/>
    <w:link w:val="a6"/>
    <w:rsid w:val="00D6246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.km.gov.cn/c/2019-03-30/3402811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123</cp:lastModifiedBy>
  <cp:revision>21</cp:revision>
  <cp:lastPrinted>2018-09-06T03:15:00Z</cp:lastPrinted>
  <dcterms:created xsi:type="dcterms:W3CDTF">2020-03-25T04:58:00Z</dcterms:created>
  <dcterms:modified xsi:type="dcterms:W3CDTF">2020-06-12T07:03:00Z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