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4C" w:rsidRDefault="006D234C">
      <w:pPr>
        <w:rPr>
          <w:rFonts w:ascii="黑体" w:eastAsia="黑体"/>
          <w:szCs w:val="32"/>
        </w:rPr>
      </w:pPr>
    </w:p>
    <w:p w:rsidR="006D234C" w:rsidRDefault="00A4109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新城展示中心房屋租金</w:t>
      </w:r>
      <w:r>
        <w:rPr>
          <w:rFonts w:ascii="方正小标宋简体" w:eastAsia="方正小标宋简体" w:hAnsi="方正小标宋简体" w:cs="方正小标宋简体" w:hint="eastAsia"/>
          <w:sz w:val="44"/>
          <w:szCs w:val="44"/>
        </w:rPr>
        <w:t>项目支出绩效报告</w:t>
      </w:r>
    </w:p>
    <w:p w:rsidR="006D234C" w:rsidRDefault="006D234C" w:rsidP="006D234C">
      <w:pPr>
        <w:spacing w:line="600" w:lineRule="exact"/>
        <w:ind w:firstLineChars="200" w:firstLine="596"/>
        <w:rPr>
          <w:rFonts w:ascii="仿宋_GB2312"/>
          <w:b/>
          <w:szCs w:val="32"/>
        </w:rPr>
      </w:pPr>
    </w:p>
    <w:p w:rsidR="006D234C" w:rsidRDefault="00A41096" w:rsidP="006D234C">
      <w:pPr>
        <w:topLinePunct/>
        <w:ind w:firstLineChars="200" w:firstLine="593"/>
        <w:rPr>
          <w:rFonts w:ascii="黑体" w:eastAsia="黑体"/>
          <w:szCs w:val="32"/>
        </w:rPr>
      </w:pPr>
      <w:r>
        <w:rPr>
          <w:rFonts w:ascii="黑体" w:eastAsia="黑体" w:hint="eastAsia"/>
          <w:szCs w:val="32"/>
        </w:rPr>
        <w:t>一、项目基本情况</w:t>
      </w:r>
    </w:p>
    <w:p w:rsidR="006D234C" w:rsidRDefault="00A41096" w:rsidP="006D234C">
      <w:pPr>
        <w:topLinePunct/>
        <w:ind w:firstLineChars="200" w:firstLine="593"/>
        <w:rPr>
          <w:rFonts w:ascii="仿宋_GB2312"/>
          <w:szCs w:val="32"/>
        </w:rPr>
      </w:pPr>
      <w:r>
        <w:rPr>
          <w:rFonts w:ascii="仿宋_GB2312" w:hint="eastAsia"/>
          <w:szCs w:val="32"/>
        </w:rPr>
        <w:t>（一）</w:t>
      </w:r>
      <w:r>
        <w:rPr>
          <w:rFonts w:ascii="仿宋_GB2312" w:hint="eastAsia"/>
          <w:szCs w:val="32"/>
        </w:rPr>
        <w:t>呈贡区新城展示中心项目是展示呈贡区美好形象的重要阵地，也是</w:t>
      </w:r>
      <w:r>
        <w:rPr>
          <w:rFonts w:ascii="仿宋_GB2312" w:hint="eastAsia"/>
          <w:szCs w:val="32"/>
        </w:rPr>
        <w:t>全方位、多角度展现呈贡城市建设史、经济与文化发展成果及城市规划光明前景的城市会客厅和城市名片</w:t>
      </w:r>
      <w:r>
        <w:rPr>
          <w:rFonts w:ascii="仿宋_GB2312" w:hAnsi="仿宋_GB2312" w:cs="仿宋_GB2312" w:hint="eastAsia"/>
          <w:szCs w:val="32"/>
        </w:rPr>
        <w:t>。</w:t>
      </w:r>
    </w:p>
    <w:p w:rsidR="006D234C" w:rsidRDefault="00A41096" w:rsidP="006D234C">
      <w:pPr>
        <w:topLinePunct/>
        <w:ind w:firstLineChars="200" w:firstLine="593"/>
        <w:rPr>
          <w:rFonts w:ascii="仿宋_GB2312"/>
          <w:szCs w:val="32"/>
        </w:rPr>
      </w:pPr>
      <w:r>
        <w:rPr>
          <w:rFonts w:ascii="仿宋_GB2312" w:hint="eastAsia"/>
          <w:szCs w:val="32"/>
        </w:rPr>
        <w:t>该项目租用呈贡信息产业园区万溪冲信息产业核心区呈贡科技信息产业创新孵化中心一楼、二楼用于展馆建设，租用建筑面积共</w:t>
      </w:r>
      <w:r>
        <w:rPr>
          <w:rFonts w:ascii="仿宋_GB2312" w:hint="eastAsia"/>
          <w:szCs w:val="32"/>
        </w:rPr>
        <w:t>6855.57</w:t>
      </w:r>
      <w:r>
        <w:rPr>
          <w:rFonts w:ascii="仿宋_GB2312" w:hint="eastAsia"/>
          <w:szCs w:val="32"/>
        </w:rPr>
        <w:t>平方米，按照信息产业园区管委会与昆明市智慧城市建设投资有限公司签订的房屋租赁合同及补充合同，园区管委会需支付房屋租金至</w:t>
      </w:r>
      <w:r>
        <w:rPr>
          <w:rFonts w:ascii="仿宋_GB2312" w:hint="eastAsia"/>
          <w:szCs w:val="32"/>
        </w:rPr>
        <w:t>2019</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31</w:t>
      </w:r>
      <w:r>
        <w:rPr>
          <w:rFonts w:ascii="仿宋_GB2312" w:hint="eastAsia"/>
          <w:szCs w:val="32"/>
        </w:rPr>
        <w:t>日，金额为</w:t>
      </w:r>
      <w:r>
        <w:rPr>
          <w:rFonts w:ascii="仿宋_GB2312" w:hint="eastAsia"/>
          <w:szCs w:val="32"/>
        </w:rPr>
        <w:t>2015537.58</w:t>
      </w:r>
      <w:r>
        <w:rPr>
          <w:rFonts w:ascii="仿宋_GB2312" w:hint="eastAsia"/>
          <w:szCs w:val="32"/>
        </w:rPr>
        <w:t>元。</w:t>
      </w:r>
    </w:p>
    <w:p w:rsidR="006D234C" w:rsidRDefault="00A41096" w:rsidP="006D234C">
      <w:pPr>
        <w:spacing w:line="560" w:lineRule="exact"/>
        <w:ind w:firstLineChars="200" w:firstLine="593"/>
        <w:rPr>
          <w:rFonts w:ascii="楷体" w:eastAsia="楷体" w:hAnsi="楷体" w:cs="楷体"/>
          <w:szCs w:val="32"/>
        </w:rPr>
      </w:pPr>
      <w:r>
        <w:rPr>
          <w:rFonts w:ascii="楷体" w:eastAsia="楷体" w:hAnsi="楷体" w:cs="楷体" w:hint="eastAsia"/>
          <w:szCs w:val="32"/>
        </w:rPr>
        <w:t>（二）项目绩效目标</w:t>
      </w:r>
    </w:p>
    <w:p w:rsidR="006D234C" w:rsidRDefault="00A41096" w:rsidP="006D234C">
      <w:pPr>
        <w:spacing w:line="560" w:lineRule="exact"/>
        <w:ind w:firstLineChars="200" w:firstLine="593"/>
        <w:rPr>
          <w:rFonts w:ascii="仿宋_GB2312" w:hAnsi="Times New Roman" w:cs="Times New Roman"/>
          <w:szCs w:val="32"/>
        </w:rPr>
      </w:pPr>
      <w:r>
        <w:rPr>
          <w:rFonts w:ascii="仿宋_GB2312" w:hAnsi="Times New Roman" w:cs="Times New Roman"/>
          <w:szCs w:val="32"/>
        </w:rPr>
        <w:t>1.</w:t>
      </w:r>
      <w:r>
        <w:rPr>
          <w:rFonts w:ascii="仿宋_GB2312" w:hAnsi="Times New Roman" w:cs="Times New Roman" w:hint="eastAsia"/>
          <w:szCs w:val="32"/>
        </w:rPr>
        <w:t>项目绩效总目标</w:t>
      </w:r>
    </w:p>
    <w:p w:rsidR="006D234C" w:rsidRDefault="00A41096" w:rsidP="006D234C">
      <w:pPr>
        <w:topLinePunct/>
        <w:spacing w:line="560" w:lineRule="exact"/>
        <w:ind w:firstLineChars="200" w:firstLine="593"/>
        <w:rPr>
          <w:rFonts w:ascii="仿宋_GB2312" w:hAnsi="仿宋_GB2312" w:cs="仿宋_GB2312"/>
          <w:bCs/>
          <w:szCs w:val="32"/>
        </w:rPr>
      </w:pPr>
      <w:r>
        <w:rPr>
          <w:rFonts w:ascii="仿宋_GB2312" w:hAnsi="仿宋_GB2312" w:cs="仿宋_GB2312" w:hint="eastAsia"/>
          <w:bCs/>
          <w:szCs w:val="32"/>
        </w:rPr>
        <w:t>提升城市文化品位、展示城市未来宏伟蓝图、宣传城市美好形象。</w:t>
      </w:r>
    </w:p>
    <w:p w:rsidR="006D234C" w:rsidRDefault="00A41096" w:rsidP="006D234C">
      <w:pPr>
        <w:spacing w:line="560" w:lineRule="exact"/>
        <w:ind w:firstLineChars="200" w:firstLine="593"/>
        <w:rPr>
          <w:rFonts w:ascii="仿宋_GB2312" w:hAnsi="Times New Roman" w:cs="Times New Roman"/>
          <w:szCs w:val="32"/>
        </w:rPr>
      </w:pPr>
      <w:r>
        <w:rPr>
          <w:rFonts w:ascii="仿宋_GB2312" w:hAnsi="Times New Roman" w:cs="Times New Roman"/>
          <w:szCs w:val="32"/>
        </w:rPr>
        <w:t>2.</w:t>
      </w:r>
      <w:r>
        <w:rPr>
          <w:rFonts w:ascii="仿宋_GB2312" w:hAnsi="Times New Roman" w:cs="Times New Roman" w:hint="eastAsia"/>
          <w:szCs w:val="32"/>
        </w:rPr>
        <w:t>项目绩效阶段性目标</w:t>
      </w:r>
    </w:p>
    <w:p w:rsidR="006D234C" w:rsidRDefault="00A41096" w:rsidP="006D234C">
      <w:pPr>
        <w:spacing w:line="560" w:lineRule="exact"/>
        <w:ind w:firstLineChars="200" w:firstLine="593"/>
        <w:rPr>
          <w:rFonts w:ascii="仿宋_GB2312" w:hAnsi="仿宋_GB2312" w:cs="仿宋_GB2312"/>
          <w:bCs/>
          <w:szCs w:val="32"/>
        </w:rPr>
      </w:pPr>
      <w:r>
        <w:rPr>
          <w:rFonts w:ascii="仿宋_GB2312" w:hAnsi="仿宋_GB2312" w:cs="仿宋_GB2312" w:hint="eastAsia"/>
          <w:bCs/>
          <w:szCs w:val="32"/>
        </w:rPr>
        <w:t>按照协议要求按时是完成租金支付工作。</w:t>
      </w:r>
      <w:r>
        <w:rPr>
          <w:rFonts w:ascii="仿宋_GB2312" w:hAnsi="仿宋_GB2312" w:cs="仿宋_GB2312" w:hint="eastAsia"/>
          <w:bCs/>
          <w:szCs w:val="32"/>
        </w:rPr>
        <w:t>。</w:t>
      </w:r>
    </w:p>
    <w:p w:rsidR="006D234C" w:rsidRDefault="00A41096" w:rsidP="006D234C">
      <w:pPr>
        <w:ind w:leftChars="200" w:left="593"/>
        <w:rPr>
          <w:rFonts w:ascii="黑体" w:eastAsia="黑体" w:hAnsi="黑体" w:cs="黑体"/>
          <w:bCs/>
          <w:szCs w:val="32"/>
        </w:rPr>
      </w:pPr>
      <w:r>
        <w:rPr>
          <w:rFonts w:ascii="黑体" w:eastAsia="黑体" w:hAnsi="黑体" w:cs="黑体" w:hint="eastAsia"/>
          <w:bCs/>
          <w:szCs w:val="32"/>
        </w:rPr>
        <w:t>二、</w:t>
      </w:r>
      <w:r>
        <w:rPr>
          <w:rFonts w:ascii="黑体" w:eastAsia="黑体" w:hAnsi="黑体" w:cs="黑体" w:hint="eastAsia"/>
          <w:bCs/>
          <w:szCs w:val="32"/>
        </w:rPr>
        <w:t>项目单位绩效报告情况。</w:t>
      </w:r>
    </w:p>
    <w:p w:rsidR="006D234C" w:rsidRDefault="00A41096" w:rsidP="006D234C">
      <w:pPr>
        <w:spacing w:line="560" w:lineRule="exact"/>
        <w:ind w:firstLineChars="200" w:firstLine="593"/>
        <w:rPr>
          <w:rFonts w:ascii="仿宋_GB2312"/>
          <w:b/>
          <w:szCs w:val="32"/>
        </w:rPr>
      </w:pPr>
      <w:r>
        <w:rPr>
          <w:rFonts w:ascii="仿宋_GB2312" w:hAnsi="仿宋_GB2312" w:cs="仿宋_GB2312" w:hint="eastAsia"/>
          <w:szCs w:val="32"/>
        </w:rPr>
        <w:t>该项目实施</w:t>
      </w:r>
      <w:r>
        <w:rPr>
          <w:rFonts w:ascii="仿宋_GB2312" w:hAnsi="仿宋_GB2312" w:cs="仿宋_GB2312" w:hint="eastAsia"/>
          <w:szCs w:val="32"/>
        </w:rPr>
        <w:t>部门</w:t>
      </w:r>
      <w:r>
        <w:rPr>
          <w:rFonts w:ascii="仿宋_GB2312" w:hAnsi="仿宋_GB2312" w:cs="仿宋_GB2312" w:hint="eastAsia"/>
          <w:szCs w:val="32"/>
        </w:rPr>
        <w:t>为</w:t>
      </w:r>
      <w:r>
        <w:rPr>
          <w:rFonts w:ascii="仿宋_GB2312" w:hAnsi="仿宋_GB2312" w:cs="仿宋_GB2312" w:hint="eastAsia"/>
          <w:szCs w:val="32"/>
        </w:rPr>
        <w:t>园区管委会规划建设部</w:t>
      </w:r>
      <w:r>
        <w:rPr>
          <w:rFonts w:ascii="仿宋_GB2312" w:hAnsi="仿宋_GB2312" w:cs="仿宋_GB2312" w:hint="eastAsia"/>
          <w:szCs w:val="32"/>
        </w:rPr>
        <w:t>，已按要求按时充分向我</w:t>
      </w:r>
      <w:r>
        <w:rPr>
          <w:rFonts w:ascii="仿宋_GB2312" w:hAnsi="仿宋_GB2312" w:cs="仿宋_GB2312" w:hint="eastAsia"/>
          <w:szCs w:val="32"/>
        </w:rPr>
        <w:t>部门</w:t>
      </w:r>
      <w:r>
        <w:rPr>
          <w:rFonts w:ascii="仿宋_GB2312" w:hAnsi="仿宋_GB2312" w:cs="仿宋_GB2312" w:hint="eastAsia"/>
          <w:szCs w:val="32"/>
        </w:rPr>
        <w:t>报送绩效自评报告和绩效自评指标评分表。</w:t>
      </w:r>
    </w:p>
    <w:p w:rsidR="006D234C" w:rsidRDefault="00A41096" w:rsidP="006D234C">
      <w:pPr>
        <w:spacing w:line="560" w:lineRule="exact"/>
        <w:ind w:firstLineChars="200" w:firstLine="596"/>
        <w:rPr>
          <w:rFonts w:ascii="黑体" w:eastAsia="黑体" w:hAnsi="黑体" w:cs="黑体"/>
          <w:b/>
          <w:szCs w:val="32"/>
        </w:rPr>
      </w:pPr>
      <w:r>
        <w:rPr>
          <w:rFonts w:ascii="黑体" w:eastAsia="黑体" w:hAnsi="黑体" w:cs="黑体" w:hint="eastAsia"/>
          <w:b/>
          <w:szCs w:val="32"/>
        </w:rPr>
        <w:t>三、绩效评价工作情况</w:t>
      </w:r>
    </w:p>
    <w:p w:rsidR="006D234C" w:rsidRDefault="00A41096" w:rsidP="006D234C">
      <w:pPr>
        <w:spacing w:line="560" w:lineRule="exact"/>
        <w:ind w:firstLineChars="200" w:firstLine="593"/>
        <w:rPr>
          <w:rFonts w:ascii="楷体" w:eastAsia="楷体" w:hAnsi="楷体" w:cs="楷体"/>
          <w:szCs w:val="32"/>
        </w:rPr>
      </w:pPr>
      <w:r>
        <w:rPr>
          <w:rFonts w:ascii="楷体" w:eastAsia="楷体" w:hAnsi="楷体" w:cs="楷体" w:hint="eastAsia"/>
          <w:szCs w:val="32"/>
        </w:rPr>
        <w:lastRenderedPageBreak/>
        <w:t>（</w:t>
      </w:r>
      <w:r>
        <w:rPr>
          <w:rFonts w:ascii="楷体" w:eastAsia="楷体" w:hAnsi="楷体" w:cs="楷体" w:hint="eastAsia"/>
          <w:szCs w:val="32"/>
        </w:rPr>
        <w:t>一）绩效评价目的</w:t>
      </w:r>
    </w:p>
    <w:p w:rsidR="006D234C" w:rsidRDefault="00A41096" w:rsidP="006D234C">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rsidR="006D234C" w:rsidRDefault="00A41096" w:rsidP="006D234C">
      <w:pPr>
        <w:numPr>
          <w:ilvl w:val="0"/>
          <w:numId w:val="2"/>
        </w:numPr>
        <w:spacing w:line="560" w:lineRule="exact"/>
        <w:ind w:firstLineChars="200" w:firstLine="593"/>
        <w:rPr>
          <w:rFonts w:ascii="楷体" w:eastAsia="楷体" w:hAnsi="楷体" w:cs="楷体"/>
          <w:szCs w:val="32"/>
        </w:rPr>
      </w:pPr>
      <w:r>
        <w:rPr>
          <w:rFonts w:ascii="楷体" w:eastAsia="楷体" w:hAnsi="楷体" w:cs="楷体" w:hint="eastAsia"/>
          <w:szCs w:val="32"/>
        </w:rPr>
        <w:t>绩效评价原则、评价指标体系、评价方法</w:t>
      </w:r>
    </w:p>
    <w:p w:rsidR="006D234C" w:rsidRDefault="00A41096" w:rsidP="006D234C">
      <w:pPr>
        <w:spacing w:line="560" w:lineRule="exact"/>
        <w:ind w:firstLineChars="200" w:firstLine="593"/>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rsidR="006D234C" w:rsidRDefault="00A41096" w:rsidP="006D234C">
      <w:pPr>
        <w:spacing w:line="560" w:lineRule="exact"/>
        <w:ind w:firstLineChars="200" w:firstLine="593"/>
        <w:rPr>
          <w:rFonts w:ascii="楷体" w:eastAsia="楷体" w:hAnsi="楷体" w:cs="楷体"/>
          <w:szCs w:val="32"/>
        </w:rPr>
      </w:pPr>
      <w:r>
        <w:rPr>
          <w:rFonts w:ascii="楷体" w:eastAsia="楷体" w:hAnsi="楷体" w:cs="楷体" w:hint="eastAsia"/>
          <w:szCs w:val="32"/>
        </w:rPr>
        <w:t>（三）绩效评价工作过程</w:t>
      </w:r>
    </w:p>
    <w:p w:rsidR="006D234C" w:rsidRDefault="00A41096" w:rsidP="006D234C">
      <w:pPr>
        <w:spacing w:line="560" w:lineRule="exact"/>
        <w:ind w:firstLineChars="200" w:firstLine="593"/>
        <w:rPr>
          <w:rFonts w:ascii="仿宋_GB2312" w:hAnsi="Times New Roman" w:cs="Times New Roman"/>
          <w:szCs w:val="32"/>
        </w:rPr>
      </w:pPr>
      <w:r>
        <w:rPr>
          <w:rFonts w:ascii="仿宋_GB2312" w:hAnsi="Times New Roman" w:cs="Times New Roman"/>
          <w:szCs w:val="32"/>
        </w:rPr>
        <w:t>1.</w:t>
      </w:r>
      <w:r>
        <w:rPr>
          <w:rFonts w:ascii="仿宋_GB2312" w:hAnsi="Times New Roman" w:cs="Times New Roman" w:hint="eastAsia"/>
          <w:szCs w:val="32"/>
        </w:rPr>
        <w:t>前期准备</w:t>
      </w:r>
    </w:p>
    <w:p w:rsidR="006D234C" w:rsidRDefault="00A41096" w:rsidP="006D234C">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按照绩效自评工作要求，组成以</w:t>
      </w:r>
      <w:r>
        <w:rPr>
          <w:rFonts w:ascii="仿宋_GB2312" w:hAnsi="Times New Roman" w:cs="Times New Roman" w:hint="eastAsia"/>
          <w:szCs w:val="32"/>
        </w:rPr>
        <w:t>分管财务副主任</w:t>
      </w:r>
      <w:r>
        <w:rPr>
          <w:rFonts w:ascii="仿宋_GB2312" w:hAnsi="Times New Roman" w:cs="Times New Roman" w:hint="eastAsia"/>
          <w:szCs w:val="32"/>
        </w:rPr>
        <w:t>为组长</w:t>
      </w:r>
      <w:r>
        <w:rPr>
          <w:rFonts w:ascii="仿宋_GB2312" w:hAnsi="Times New Roman" w:cs="Times New Roman" w:hint="eastAsia"/>
          <w:szCs w:val="32"/>
        </w:rPr>
        <w:t>，各部办负责人为成员的</w:t>
      </w:r>
      <w:r>
        <w:rPr>
          <w:rFonts w:ascii="仿宋_GB2312" w:hAnsi="Times New Roman" w:cs="Times New Roman" w:hint="eastAsia"/>
          <w:szCs w:val="32"/>
        </w:rPr>
        <w:t>绩效评价工作小组，</w:t>
      </w:r>
      <w:r>
        <w:rPr>
          <w:rFonts w:ascii="仿宋_GB2312" w:hAnsi="Times New Roman" w:cs="Times New Roman" w:hint="eastAsia"/>
          <w:szCs w:val="32"/>
        </w:rPr>
        <w:t>同时聘请了第三方中介机构</w:t>
      </w:r>
      <w:r>
        <w:rPr>
          <w:rFonts w:ascii="仿宋_GB2312" w:hAnsi="Times New Roman" w:cs="Times New Roman" w:hint="eastAsia"/>
          <w:szCs w:val="32"/>
        </w:rPr>
        <w:t>群兴</w:t>
      </w:r>
      <w:r>
        <w:rPr>
          <w:rFonts w:ascii="仿宋_GB2312" w:hAnsi="Times New Roman" w:cs="Times New Roman" w:hint="eastAsia"/>
          <w:szCs w:val="32"/>
        </w:rPr>
        <w:t>会计师事务所，</w:t>
      </w:r>
      <w:r>
        <w:rPr>
          <w:rFonts w:ascii="仿宋_GB2312" w:hAnsi="Times New Roman" w:cs="Times New Roman" w:hint="eastAsia"/>
          <w:szCs w:val="32"/>
        </w:rPr>
        <w:t>根据</w:t>
      </w:r>
      <w:r>
        <w:rPr>
          <w:rFonts w:ascii="仿宋_GB2312" w:hAnsi="Times New Roman" w:cs="Times New Roman" w:hint="eastAsia"/>
          <w:szCs w:val="32"/>
        </w:rPr>
        <w:t>各项目具体</w:t>
      </w:r>
      <w:r>
        <w:rPr>
          <w:rFonts w:ascii="仿宋_GB2312" w:hAnsi="Times New Roman" w:cs="Times New Roman" w:hint="eastAsia"/>
          <w:szCs w:val="32"/>
        </w:rPr>
        <w:t>情况制定了</w:t>
      </w:r>
      <w:r>
        <w:rPr>
          <w:rFonts w:ascii="仿宋_GB2312" w:hAnsi="Times New Roman" w:cs="Times New Roman" w:hint="eastAsia"/>
          <w:szCs w:val="32"/>
        </w:rPr>
        <w:t>项目</w:t>
      </w:r>
      <w:r>
        <w:rPr>
          <w:rFonts w:ascii="仿宋_GB2312" w:hAnsi="Times New Roman" w:cs="Times New Roman" w:hint="eastAsia"/>
          <w:szCs w:val="32"/>
        </w:rPr>
        <w:t>支出绩效评价实施方案。</w:t>
      </w:r>
    </w:p>
    <w:p w:rsidR="006D234C" w:rsidRDefault="00A41096" w:rsidP="006D234C">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组织实施</w:t>
      </w:r>
    </w:p>
    <w:p w:rsidR="006D234C" w:rsidRDefault="00A41096" w:rsidP="006D234C">
      <w:pPr>
        <w:spacing w:line="560" w:lineRule="exact"/>
        <w:ind w:firstLineChars="200" w:firstLine="593"/>
        <w:rPr>
          <w:rFonts w:ascii="仿宋_GB2312" w:hAnsi="Times New Roman" w:cs="Times New Roman"/>
          <w:szCs w:val="32"/>
        </w:rPr>
      </w:pPr>
      <w:r>
        <w:rPr>
          <w:rFonts w:ascii="仿宋_GB2312" w:hAnsi="仿宋_GB2312" w:cs="仿宋_GB2312" w:hint="eastAsia"/>
          <w:szCs w:val="32"/>
        </w:rPr>
        <w:t>采用核查法核查</w:t>
      </w:r>
      <w:r>
        <w:rPr>
          <w:rFonts w:ascii="仿宋_GB2312" w:hAnsi="仿宋_GB2312" w:cs="仿宋_GB2312" w:hint="eastAsia"/>
          <w:szCs w:val="32"/>
        </w:rPr>
        <w:t>201</w:t>
      </w:r>
      <w:r>
        <w:rPr>
          <w:rFonts w:ascii="仿宋_GB2312" w:hAnsi="仿宋_GB2312" w:cs="仿宋_GB2312" w:hint="eastAsia"/>
          <w:szCs w:val="32"/>
        </w:rPr>
        <w:t>9</w:t>
      </w:r>
      <w:r>
        <w:rPr>
          <w:rFonts w:ascii="仿宋_GB2312" w:hAnsi="仿宋_GB2312" w:cs="仿宋_GB2312" w:hint="eastAsia"/>
          <w:szCs w:val="32"/>
        </w:rPr>
        <w:t>年财政预算批复执行及项目支出情况，着重核查了重点项目管理、内部控制</w:t>
      </w:r>
      <w:r>
        <w:rPr>
          <w:rFonts w:ascii="仿宋_GB2312" w:hAnsi="仿宋_GB2312" w:cs="仿宋_GB2312" w:hint="eastAsia"/>
          <w:szCs w:val="32"/>
        </w:rPr>
        <w:t>建设管理</w:t>
      </w:r>
      <w:r>
        <w:rPr>
          <w:rFonts w:ascii="仿宋_GB2312" w:hAnsi="仿宋_GB2312" w:cs="仿宋_GB2312" w:hint="eastAsia"/>
          <w:szCs w:val="32"/>
        </w:rPr>
        <w:t>情况，对</w:t>
      </w:r>
      <w:r>
        <w:rPr>
          <w:rFonts w:ascii="仿宋_GB2312" w:hAnsi="仿宋_GB2312" w:cs="仿宋_GB2312" w:hint="eastAsia"/>
          <w:szCs w:val="32"/>
        </w:rPr>
        <w:t>园区各</w:t>
      </w:r>
      <w:r>
        <w:rPr>
          <w:rFonts w:ascii="仿宋_GB2312" w:hAnsi="仿宋_GB2312" w:cs="仿宋_GB2312" w:hint="eastAsia"/>
          <w:szCs w:val="32"/>
        </w:rPr>
        <w:t>内设机构</w:t>
      </w:r>
      <w:r>
        <w:rPr>
          <w:rFonts w:ascii="仿宋_GB2312" w:hAnsi="仿宋_GB2312" w:cs="仿宋_GB2312" w:hint="eastAsia"/>
          <w:szCs w:val="32"/>
        </w:rPr>
        <w:t>及项目实施单位</w:t>
      </w:r>
      <w:r>
        <w:rPr>
          <w:rFonts w:ascii="仿宋_GB2312" w:hAnsi="仿宋_GB2312" w:cs="仿宋_GB2312" w:hint="eastAsia"/>
          <w:szCs w:val="32"/>
        </w:rPr>
        <w:t>，根据</w:t>
      </w:r>
      <w:r>
        <w:rPr>
          <w:rFonts w:ascii="仿宋_GB2312" w:hAnsi="仿宋_GB2312" w:cs="仿宋_GB2312" w:hint="eastAsia"/>
          <w:szCs w:val="32"/>
        </w:rPr>
        <w:t>各自</w:t>
      </w:r>
      <w:r>
        <w:rPr>
          <w:rFonts w:ascii="仿宋_GB2312" w:hAnsi="仿宋_GB2312" w:cs="仿宋_GB2312" w:hint="eastAsia"/>
          <w:szCs w:val="32"/>
        </w:rPr>
        <w:t>职能</w:t>
      </w:r>
      <w:r>
        <w:rPr>
          <w:rFonts w:ascii="仿宋_GB2312" w:hAnsi="仿宋_GB2312" w:cs="仿宋_GB2312" w:hint="eastAsia"/>
          <w:szCs w:val="32"/>
        </w:rPr>
        <w:t>职责</w:t>
      </w:r>
      <w:r>
        <w:rPr>
          <w:rFonts w:ascii="仿宋_GB2312" w:hAnsi="仿宋_GB2312" w:cs="仿宋_GB2312" w:hint="eastAsia"/>
          <w:szCs w:val="32"/>
        </w:rPr>
        <w:t>和年初制定的绩效考核目标，进行了实地绩效考评。</w:t>
      </w:r>
    </w:p>
    <w:p w:rsidR="006D234C" w:rsidRDefault="00A41096" w:rsidP="006D234C">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3.</w:t>
      </w:r>
      <w:r>
        <w:rPr>
          <w:rFonts w:ascii="仿宋_GB2312" w:hAnsi="Times New Roman" w:cs="Times New Roman" w:hint="eastAsia"/>
          <w:szCs w:val="32"/>
        </w:rPr>
        <w:t>分析评价</w:t>
      </w:r>
    </w:p>
    <w:p w:rsidR="006D234C" w:rsidRDefault="00A41096" w:rsidP="006D234C">
      <w:pPr>
        <w:spacing w:line="560" w:lineRule="exact"/>
        <w:ind w:firstLineChars="200" w:firstLine="593"/>
        <w:rPr>
          <w:rFonts w:ascii="Times New Roman" w:eastAsia="黑体" w:hAnsi="Times New Roman" w:cs="Times New Roman"/>
          <w:szCs w:val="32"/>
        </w:rPr>
      </w:pPr>
      <w:r>
        <w:rPr>
          <w:rFonts w:ascii="仿宋_GB2312" w:hAnsi="仿宋_GB2312" w:cs="仿宋_GB2312" w:hint="eastAsia"/>
          <w:szCs w:val="32"/>
        </w:rPr>
        <w:lastRenderedPageBreak/>
        <w:t>对评价过程中收集资料进行归纳，汇总分析，依据设定的项目支出绩效评价指标体系进行了评分，形成了综合性书面报告</w:t>
      </w:r>
      <w:r>
        <w:rPr>
          <w:rFonts w:ascii="仿宋_GB2312" w:hAnsi="仿宋_GB2312" w:cs="仿宋_GB2312" w:hint="eastAsia"/>
          <w:szCs w:val="32"/>
        </w:rPr>
        <w:t>及评分表</w:t>
      </w:r>
      <w:r>
        <w:rPr>
          <w:rFonts w:ascii="仿宋_GB2312" w:hAnsi="仿宋_GB2312" w:cs="仿宋_GB2312" w:hint="eastAsia"/>
          <w:szCs w:val="32"/>
        </w:rPr>
        <w:t>。</w:t>
      </w:r>
    </w:p>
    <w:p w:rsidR="006D234C" w:rsidRDefault="00A41096" w:rsidP="006D234C">
      <w:pPr>
        <w:ind w:firstLineChars="200" w:firstLine="596"/>
        <w:rPr>
          <w:rFonts w:ascii="仿宋_GB2312"/>
          <w:b/>
          <w:szCs w:val="32"/>
        </w:rPr>
      </w:pPr>
      <w:r>
        <w:rPr>
          <w:rFonts w:ascii="仿宋_GB2312" w:hint="eastAsia"/>
          <w:b/>
          <w:szCs w:val="32"/>
        </w:rPr>
        <w:t>四、绩效评价指标分析情况</w:t>
      </w:r>
    </w:p>
    <w:p w:rsidR="006D234C" w:rsidRDefault="00A41096" w:rsidP="006D234C">
      <w:pPr>
        <w:topLinePunct/>
        <w:spacing w:line="560" w:lineRule="exact"/>
        <w:ind w:firstLineChars="200" w:firstLine="593"/>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w:t>
      </w:r>
      <w:r>
        <w:rPr>
          <w:rFonts w:ascii="楷体" w:eastAsia="楷体" w:hAnsi="楷体" w:cs="楷体" w:hint="eastAsia"/>
          <w:szCs w:val="32"/>
        </w:rPr>
        <w:t>）</w:t>
      </w:r>
      <w:r>
        <w:rPr>
          <w:rFonts w:ascii="楷体" w:eastAsia="楷体" w:hAnsi="楷体" w:cs="楷体" w:hint="eastAsia"/>
          <w:szCs w:val="32"/>
        </w:rPr>
        <w:t>项</w:t>
      </w:r>
      <w:r>
        <w:rPr>
          <w:rFonts w:ascii="楷体" w:eastAsia="楷体" w:hAnsi="楷体" w:cs="楷体" w:hint="eastAsia"/>
          <w:szCs w:val="32"/>
        </w:rPr>
        <w:t>目</w:t>
      </w:r>
      <w:r>
        <w:rPr>
          <w:rFonts w:ascii="楷体" w:eastAsia="楷体" w:hAnsi="楷体" w:cs="楷体" w:hint="eastAsia"/>
          <w:szCs w:val="32"/>
        </w:rPr>
        <w:t>资金使用情况</w:t>
      </w:r>
    </w:p>
    <w:p w:rsidR="006D234C" w:rsidRDefault="00A41096" w:rsidP="006D234C">
      <w:pPr>
        <w:spacing w:line="560" w:lineRule="exact"/>
        <w:ind w:firstLineChars="200" w:firstLine="593"/>
        <w:outlineLvl w:val="0"/>
        <w:rPr>
          <w:rFonts w:ascii="楷体" w:eastAsia="楷体" w:hAnsi="楷体" w:cs="楷体"/>
          <w:szCs w:val="32"/>
        </w:rPr>
      </w:pPr>
      <w:r>
        <w:rPr>
          <w:rFonts w:ascii="仿宋_GB2312" w:hAnsi="仿宋_GB2312" w:cs="仿宋_GB2312" w:hint="eastAsia"/>
          <w:szCs w:val="32"/>
        </w:rPr>
        <w:t>我单位已及时足额支付了该项目租金</w:t>
      </w:r>
      <w:r>
        <w:rPr>
          <w:rFonts w:ascii="仿宋_GB2312" w:hAnsi="仿宋_GB2312" w:cs="仿宋_GB2312" w:hint="eastAsia"/>
          <w:szCs w:val="32"/>
        </w:rPr>
        <w:t>246.8</w:t>
      </w:r>
      <w:r>
        <w:rPr>
          <w:rFonts w:ascii="仿宋_GB2312" w:hAnsi="仿宋_GB2312" w:cs="仿宋_GB2312" w:hint="eastAsia"/>
          <w:szCs w:val="32"/>
        </w:rPr>
        <w:t>万元至项目单位，无滞留、挤占、挪用等违法乱纪情况。项目公司专款专用于新区规划馆租金支付。</w:t>
      </w:r>
    </w:p>
    <w:p w:rsidR="006D234C" w:rsidRDefault="00A41096" w:rsidP="006D234C">
      <w:pPr>
        <w:topLinePunct/>
        <w:ind w:firstLineChars="200" w:firstLine="593"/>
        <w:rPr>
          <w:rFonts w:ascii="仿宋_GB2312" w:hAnsi="仿宋_GB2312" w:cs="仿宋_GB2312"/>
          <w:szCs w:val="32"/>
        </w:rPr>
      </w:pPr>
      <w:r>
        <w:rPr>
          <w:rFonts w:ascii="仿宋_GB2312" w:hAnsi="仿宋_GB2312" w:cs="仿宋_GB2312" w:hint="eastAsia"/>
          <w:szCs w:val="32"/>
        </w:rPr>
        <w:t>规划建设部按实际申报</w:t>
      </w:r>
      <w:r>
        <w:rPr>
          <w:rFonts w:ascii="仿宋_GB2312" w:hAnsi="仿宋_GB2312" w:cs="仿宋_GB2312" w:hint="eastAsia"/>
          <w:szCs w:val="32"/>
        </w:rPr>
        <w:t>项目资金</w:t>
      </w:r>
      <w:r>
        <w:rPr>
          <w:rFonts w:ascii="仿宋_GB2312" w:hAnsi="仿宋_GB2312" w:cs="仿宋_GB2312" w:hint="eastAsia"/>
          <w:szCs w:val="32"/>
        </w:rPr>
        <w:t>预算。展示中心项目房屋租金经</w:t>
      </w:r>
      <w:r>
        <w:rPr>
          <w:rFonts w:ascii="仿宋_GB2312" w:hAnsi="仿宋_GB2312" w:cs="仿宋_GB2312" w:hint="eastAsia"/>
          <w:szCs w:val="32"/>
        </w:rPr>
        <w:t>2019</w:t>
      </w:r>
      <w:r>
        <w:rPr>
          <w:rFonts w:ascii="仿宋_GB2312" w:hAnsi="仿宋_GB2312" w:cs="仿宋_GB2312" w:hint="eastAsia"/>
          <w:szCs w:val="32"/>
        </w:rPr>
        <w:t>年主任办公会同意后足额拨付至昆明智投公司。</w:t>
      </w:r>
    </w:p>
    <w:p w:rsidR="006D234C" w:rsidRDefault="00A41096" w:rsidP="006D234C">
      <w:pPr>
        <w:spacing w:line="560" w:lineRule="exact"/>
        <w:ind w:firstLineChars="200" w:firstLine="593"/>
        <w:outlineLvl w:val="0"/>
        <w:rPr>
          <w:rFonts w:ascii="楷体_GB2312" w:eastAsia="楷体_GB2312" w:hAnsi="楷体_GB2312" w:cs="楷体_GB2312"/>
          <w:szCs w:val="32"/>
        </w:rPr>
      </w:pPr>
      <w:r>
        <w:rPr>
          <w:rFonts w:ascii="楷体_GB2312" w:eastAsia="楷体_GB2312" w:hAnsi="楷体_GB2312" w:cs="楷体_GB2312" w:hint="eastAsia"/>
          <w:szCs w:val="32"/>
        </w:rPr>
        <w:t>（</w:t>
      </w:r>
      <w:r w:rsidR="006264FB">
        <w:rPr>
          <w:rFonts w:ascii="楷体_GB2312" w:eastAsia="楷体_GB2312" w:hAnsi="楷体_GB2312" w:cs="楷体_GB2312" w:hint="eastAsia"/>
          <w:szCs w:val="32"/>
        </w:rPr>
        <w:t>二</w:t>
      </w:r>
      <w:r>
        <w:rPr>
          <w:rFonts w:ascii="楷体_GB2312" w:eastAsia="楷体_GB2312" w:hAnsi="楷体_GB2312" w:cs="楷体_GB2312" w:hint="eastAsia"/>
          <w:szCs w:val="32"/>
        </w:rPr>
        <w:t>）</w:t>
      </w:r>
      <w:r>
        <w:rPr>
          <w:rFonts w:ascii="楷体_GB2312" w:eastAsia="楷体_GB2312" w:hAnsi="楷体_GB2312" w:cs="楷体_GB2312" w:hint="eastAsia"/>
          <w:szCs w:val="32"/>
        </w:rPr>
        <w:t>项目实施情况分析</w:t>
      </w:r>
      <w:r>
        <w:rPr>
          <w:rFonts w:ascii="楷体_GB2312" w:eastAsia="楷体_GB2312" w:hAnsi="楷体_GB2312" w:cs="楷体_GB2312" w:hint="eastAsia"/>
          <w:szCs w:val="32"/>
        </w:rPr>
        <w:t>。</w:t>
      </w:r>
    </w:p>
    <w:p w:rsidR="006D234C" w:rsidRDefault="00A41096" w:rsidP="006D234C">
      <w:pPr>
        <w:topLinePunct/>
        <w:ind w:firstLineChars="200" w:firstLine="593"/>
        <w:rPr>
          <w:rFonts w:ascii="仿宋_GB2312"/>
          <w:szCs w:val="32"/>
        </w:rPr>
      </w:pPr>
      <w:r>
        <w:rPr>
          <w:rFonts w:ascii="仿宋_GB2312" w:hint="eastAsia"/>
          <w:szCs w:val="32"/>
        </w:rPr>
        <w:t>2016</w:t>
      </w:r>
      <w:r>
        <w:rPr>
          <w:rFonts w:ascii="仿宋_GB2312" w:hint="eastAsia"/>
          <w:szCs w:val="32"/>
        </w:rPr>
        <w:t>年按照区委区政府决策部署，园区管委会负责统筹建设呈贡区新城展示中心。</w:t>
      </w:r>
      <w:r>
        <w:rPr>
          <w:rFonts w:ascii="仿宋_GB2312" w:hint="eastAsia"/>
          <w:szCs w:val="32"/>
        </w:rPr>
        <w:t>该项目于</w:t>
      </w:r>
      <w:r>
        <w:rPr>
          <w:rFonts w:ascii="仿宋_GB2312" w:hint="eastAsia"/>
          <w:szCs w:val="32"/>
        </w:rPr>
        <w:t>2017</w:t>
      </w:r>
      <w:r>
        <w:rPr>
          <w:rFonts w:ascii="仿宋_GB2312" w:hint="eastAsia"/>
          <w:szCs w:val="32"/>
        </w:rPr>
        <w:t>年获呈贡区发改局批复同意，于</w:t>
      </w:r>
      <w:r>
        <w:rPr>
          <w:rFonts w:ascii="仿宋_GB2312" w:hint="eastAsia"/>
          <w:szCs w:val="32"/>
        </w:rPr>
        <w:t>2017</w:t>
      </w:r>
      <w:r>
        <w:rPr>
          <w:rFonts w:ascii="仿宋_GB2312" w:hint="eastAsia"/>
          <w:szCs w:val="32"/>
        </w:rPr>
        <w:t>年</w:t>
      </w:r>
      <w:r>
        <w:rPr>
          <w:rFonts w:ascii="仿宋_GB2312" w:hint="eastAsia"/>
          <w:szCs w:val="32"/>
        </w:rPr>
        <w:t>11</w:t>
      </w:r>
      <w:r>
        <w:rPr>
          <w:rFonts w:ascii="仿宋_GB2312" w:hint="eastAsia"/>
          <w:szCs w:val="32"/>
        </w:rPr>
        <w:t>月开工建设，</w:t>
      </w:r>
      <w:r>
        <w:rPr>
          <w:rFonts w:ascii="仿宋_GB2312" w:hint="eastAsia"/>
          <w:szCs w:val="32"/>
        </w:rPr>
        <w:t>2019</w:t>
      </w:r>
      <w:r>
        <w:rPr>
          <w:rFonts w:ascii="仿宋_GB2312" w:hint="eastAsia"/>
          <w:szCs w:val="32"/>
        </w:rPr>
        <w:t>年</w:t>
      </w:r>
      <w:r>
        <w:rPr>
          <w:rFonts w:ascii="仿宋_GB2312" w:hint="eastAsia"/>
          <w:szCs w:val="32"/>
        </w:rPr>
        <w:t>4</w:t>
      </w:r>
      <w:r>
        <w:rPr>
          <w:rFonts w:ascii="仿宋_GB2312" w:hint="eastAsia"/>
          <w:szCs w:val="32"/>
        </w:rPr>
        <w:t>月正式投入运营。该项目已于</w:t>
      </w:r>
      <w:r>
        <w:rPr>
          <w:rFonts w:ascii="仿宋_GB2312" w:hint="eastAsia"/>
          <w:szCs w:val="32"/>
        </w:rPr>
        <w:t>2019</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30</w:t>
      </w:r>
      <w:r>
        <w:rPr>
          <w:rFonts w:ascii="仿宋_GB2312" w:hint="eastAsia"/>
          <w:szCs w:val="32"/>
        </w:rPr>
        <w:t>日通过呈贡区审计局审计。</w:t>
      </w:r>
    </w:p>
    <w:p w:rsidR="006D234C" w:rsidRDefault="006264FB" w:rsidP="006D234C">
      <w:pPr>
        <w:spacing w:line="560" w:lineRule="exact"/>
        <w:ind w:firstLineChars="200" w:firstLine="593"/>
        <w:rPr>
          <w:rFonts w:ascii="Times New Roman" w:hAnsi="Times New Roman" w:cs="Times New Roman"/>
          <w:szCs w:val="32"/>
        </w:rPr>
      </w:pPr>
      <w:r>
        <w:rPr>
          <w:rFonts w:ascii="楷体_GB2312" w:eastAsia="楷体_GB2312" w:hAnsi="楷体_GB2312" w:cs="楷体_GB2312" w:hint="eastAsia"/>
          <w:szCs w:val="32"/>
        </w:rPr>
        <w:t>（三</w:t>
      </w:r>
      <w:r w:rsidR="00A41096">
        <w:rPr>
          <w:rFonts w:ascii="楷体_GB2312" w:eastAsia="楷体_GB2312" w:hAnsi="楷体_GB2312" w:cs="楷体_GB2312" w:hint="eastAsia"/>
          <w:szCs w:val="32"/>
        </w:rPr>
        <w:t>）</w:t>
      </w:r>
      <w:r w:rsidR="00A41096">
        <w:rPr>
          <w:rFonts w:ascii="楷体_GB2312" w:eastAsia="楷体_GB2312" w:hAnsi="楷体_GB2312" w:cs="楷体_GB2312" w:hint="eastAsia"/>
          <w:szCs w:val="32"/>
        </w:rPr>
        <w:t>项目绩效情况分析</w:t>
      </w:r>
      <w:r w:rsidR="00A41096">
        <w:rPr>
          <w:rFonts w:ascii="楷体_GB2312" w:eastAsia="楷体_GB2312" w:hAnsi="楷体_GB2312" w:cs="楷体_GB2312" w:hint="eastAsia"/>
          <w:szCs w:val="32"/>
        </w:rPr>
        <w:t>。</w:t>
      </w:r>
    </w:p>
    <w:p w:rsidR="006D234C" w:rsidRDefault="00A41096" w:rsidP="006D234C">
      <w:pPr>
        <w:topLinePunct/>
        <w:ind w:firstLineChars="200" w:firstLine="593"/>
        <w:rPr>
          <w:rFonts w:ascii="仿宋_GB2312"/>
          <w:szCs w:val="32"/>
        </w:rPr>
      </w:pPr>
      <w:r>
        <w:rPr>
          <w:rFonts w:ascii="仿宋_GB2312" w:hint="eastAsia"/>
          <w:szCs w:val="32"/>
        </w:rPr>
        <w:t>呈贡区新城展示中心项目自投入运营来，多次接待了省市区各级领导、国内外、省内外来宾以及广大市民群众等，</w:t>
      </w:r>
      <w:r>
        <w:rPr>
          <w:rFonts w:ascii="仿宋_GB2312" w:hint="eastAsia"/>
          <w:szCs w:val="32"/>
        </w:rPr>
        <w:t>有效促进了呈贡区经济社会发展。</w:t>
      </w:r>
      <w:r>
        <w:rPr>
          <w:rFonts w:ascii="仿宋_GB2312" w:hint="eastAsia"/>
          <w:szCs w:val="32"/>
        </w:rPr>
        <w:t>同时，通过展示呈贡区</w:t>
      </w:r>
      <w:r>
        <w:rPr>
          <w:rFonts w:ascii="仿宋_GB2312" w:hint="eastAsia"/>
          <w:szCs w:val="32"/>
        </w:rPr>
        <w:t>发展历</w:t>
      </w:r>
      <w:r>
        <w:rPr>
          <w:rFonts w:ascii="仿宋_GB2312" w:hint="eastAsia"/>
          <w:szCs w:val="32"/>
        </w:rPr>
        <w:t>史、经济文化发展成果</w:t>
      </w:r>
      <w:r>
        <w:rPr>
          <w:rFonts w:ascii="仿宋_GB2312" w:hint="eastAsia"/>
          <w:szCs w:val="32"/>
        </w:rPr>
        <w:t>、</w:t>
      </w:r>
      <w:r>
        <w:rPr>
          <w:rFonts w:ascii="仿宋_GB2312" w:hint="eastAsia"/>
          <w:szCs w:val="32"/>
        </w:rPr>
        <w:t>城市规划前景</w:t>
      </w:r>
      <w:r>
        <w:rPr>
          <w:rFonts w:ascii="仿宋_GB2312" w:hint="eastAsia"/>
          <w:szCs w:val="32"/>
        </w:rPr>
        <w:t>等，凝心聚力，推动了呈贡区迈向更高水平发展。</w:t>
      </w:r>
    </w:p>
    <w:p w:rsidR="006D234C" w:rsidRDefault="00A41096" w:rsidP="006D234C">
      <w:pPr>
        <w:numPr>
          <w:ilvl w:val="0"/>
          <w:numId w:val="3"/>
        </w:numPr>
        <w:ind w:firstLineChars="200" w:firstLine="596"/>
        <w:rPr>
          <w:rFonts w:ascii="仿宋_GB2312"/>
          <w:b/>
          <w:szCs w:val="32"/>
        </w:rPr>
      </w:pPr>
      <w:r>
        <w:rPr>
          <w:rFonts w:ascii="仿宋_GB2312" w:hint="eastAsia"/>
          <w:b/>
          <w:szCs w:val="32"/>
        </w:rPr>
        <w:t>综合评价情况及评价结论</w:t>
      </w:r>
      <w:r>
        <w:rPr>
          <w:rFonts w:ascii="仿宋_GB2312" w:hint="eastAsia"/>
          <w:bCs/>
          <w:szCs w:val="32"/>
        </w:rPr>
        <w:t>（附相关评分表）</w:t>
      </w:r>
      <w:r>
        <w:rPr>
          <w:rFonts w:ascii="仿宋_GB2312" w:hint="eastAsia"/>
          <w:b/>
          <w:szCs w:val="32"/>
        </w:rPr>
        <w:t>。</w:t>
      </w:r>
    </w:p>
    <w:p w:rsidR="006D234C" w:rsidRDefault="00A41096" w:rsidP="006D234C">
      <w:pPr>
        <w:spacing w:line="560" w:lineRule="exact"/>
        <w:ind w:firstLineChars="200" w:firstLine="593"/>
        <w:rPr>
          <w:rFonts w:ascii="仿宋_GB2312" w:hAnsi="仿宋_GB2312" w:cs="仿宋_GB2312"/>
          <w:szCs w:val="32"/>
        </w:rPr>
      </w:pPr>
      <w:r>
        <w:rPr>
          <w:rFonts w:ascii="仿宋_GB2312" w:hAnsi="仿宋_GB2312" w:cs="仿宋_GB2312" w:hint="eastAsia"/>
          <w:szCs w:val="32"/>
        </w:rPr>
        <w:lastRenderedPageBreak/>
        <w:t>综合各指标评价之后，该项目绩效评价结果为“</w:t>
      </w:r>
      <w:r>
        <w:rPr>
          <w:rFonts w:ascii="仿宋_GB2312" w:hAnsi="仿宋_GB2312" w:cs="仿宋_GB2312" w:hint="eastAsia"/>
          <w:szCs w:val="32"/>
        </w:rPr>
        <w:t>优</w:t>
      </w:r>
      <w:bookmarkStart w:id="0" w:name="_GoBack"/>
      <w:bookmarkEnd w:id="0"/>
      <w:r>
        <w:rPr>
          <w:rFonts w:ascii="仿宋_GB2312" w:hAnsi="仿宋_GB2312" w:cs="仿宋_GB2312" w:hint="eastAsia"/>
          <w:szCs w:val="32"/>
        </w:rPr>
        <w:t>”，评分表见下表附表</w:t>
      </w:r>
      <w:r>
        <w:rPr>
          <w:rFonts w:ascii="仿宋_GB2312" w:hAnsi="仿宋_GB2312" w:cs="仿宋_GB2312" w:hint="eastAsia"/>
          <w:szCs w:val="32"/>
        </w:rPr>
        <w:t>3</w:t>
      </w:r>
      <w:r>
        <w:rPr>
          <w:rFonts w:ascii="仿宋_GB2312" w:hAnsi="仿宋_GB2312" w:cs="仿宋_GB2312" w:hint="eastAsia"/>
          <w:szCs w:val="32"/>
        </w:rPr>
        <w:t>。</w:t>
      </w:r>
    </w:p>
    <w:p w:rsidR="006D234C" w:rsidRDefault="00A41096">
      <w:pPr>
        <w:spacing w:line="600" w:lineRule="exact"/>
        <w:rPr>
          <w:rFonts w:ascii="方正小标宋_GBK" w:eastAsia="方正小标宋_GBK"/>
          <w:spacing w:val="-6"/>
          <w:sz w:val="36"/>
          <w:szCs w:val="36"/>
        </w:rPr>
      </w:pPr>
      <w:r>
        <w:rPr>
          <w:rFonts w:ascii="黑体" w:eastAsia="黑体" w:hint="eastAsia"/>
          <w:szCs w:val="32"/>
        </w:rPr>
        <w:t>附件</w:t>
      </w:r>
      <w:r>
        <w:rPr>
          <w:rFonts w:ascii="黑体" w:eastAsia="黑体" w:hint="eastAsia"/>
          <w:szCs w:val="32"/>
        </w:rPr>
        <w:t>3</w:t>
      </w:r>
      <w:r>
        <w:rPr>
          <w:rFonts w:ascii="黑体" w:eastAsia="黑体" w:hint="eastAsia"/>
          <w:szCs w:val="32"/>
        </w:rPr>
        <w:t>：</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8"/>
        <w:gridCol w:w="728"/>
        <w:gridCol w:w="991"/>
        <w:gridCol w:w="640"/>
        <w:gridCol w:w="2767"/>
        <w:gridCol w:w="3105"/>
      </w:tblGrid>
      <w:tr w:rsidR="006D234C">
        <w:trPr>
          <w:trHeight w:val="499"/>
          <w:tblHeader/>
        </w:trPr>
        <w:tc>
          <w:tcPr>
            <w:tcW w:w="8862" w:type="dxa"/>
            <w:gridSpan w:val="7"/>
            <w:tcBorders>
              <w:top w:val="nil"/>
              <w:left w:val="nil"/>
              <w:right w:val="nil"/>
            </w:tcBorders>
            <w:vAlign w:val="center"/>
          </w:tcPr>
          <w:p w:rsidR="006D234C" w:rsidRDefault="00A41096" w:rsidP="006D234C">
            <w:pPr>
              <w:widowControl/>
              <w:spacing w:beforeLines="50" w:afterLines="50"/>
              <w:jc w:val="center"/>
              <w:rPr>
                <w:rFonts w:ascii="黑体" w:eastAsia="黑体" w:hAnsi="宋体" w:cs="宋体"/>
                <w:kern w:val="0"/>
                <w:sz w:val="36"/>
                <w:szCs w:val="36"/>
              </w:rPr>
            </w:pPr>
            <w:r>
              <w:rPr>
                <w:rFonts w:ascii="黑体" w:eastAsia="黑体" w:hAnsi="宋体" w:cs="宋体" w:hint="eastAsia"/>
                <w:kern w:val="0"/>
                <w:sz w:val="36"/>
                <w:szCs w:val="36"/>
              </w:rPr>
              <w:t>项目支出绩效自评指标评分表</w:t>
            </w:r>
          </w:p>
          <w:p w:rsidR="006D234C" w:rsidRDefault="006D234C">
            <w:pPr>
              <w:widowControl/>
              <w:spacing w:line="260" w:lineRule="exact"/>
              <w:jc w:val="center"/>
              <w:rPr>
                <w:rFonts w:ascii="仿宋_GB2312" w:hAnsi="宋体" w:cs="宋体"/>
                <w:b/>
                <w:kern w:val="0"/>
                <w:sz w:val="20"/>
              </w:rPr>
            </w:pPr>
          </w:p>
        </w:tc>
      </w:tr>
      <w:tr w:rsidR="006D234C">
        <w:trPr>
          <w:trHeight w:val="907"/>
          <w:tblHeader/>
        </w:trPr>
        <w:tc>
          <w:tcPr>
            <w:tcW w:w="631" w:type="dxa"/>
            <w:gridSpan w:val="2"/>
            <w:vAlign w:val="center"/>
          </w:tcPr>
          <w:p w:rsidR="006D234C" w:rsidRDefault="00A41096">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一级指标</w:t>
            </w:r>
          </w:p>
        </w:tc>
        <w:tc>
          <w:tcPr>
            <w:tcW w:w="728" w:type="dxa"/>
            <w:vAlign w:val="center"/>
          </w:tcPr>
          <w:p w:rsidR="006D234C" w:rsidRDefault="00A41096">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二级指标</w:t>
            </w:r>
          </w:p>
        </w:tc>
        <w:tc>
          <w:tcPr>
            <w:tcW w:w="991" w:type="dxa"/>
            <w:vAlign w:val="center"/>
          </w:tcPr>
          <w:p w:rsidR="006D234C" w:rsidRDefault="00A41096">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三级</w:t>
            </w:r>
          </w:p>
          <w:p w:rsidR="006D234C" w:rsidRDefault="00A41096">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指标</w:t>
            </w:r>
          </w:p>
        </w:tc>
        <w:tc>
          <w:tcPr>
            <w:tcW w:w="640" w:type="dxa"/>
            <w:vAlign w:val="center"/>
          </w:tcPr>
          <w:p w:rsidR="006D234C" w:rsidRDefault="00A41096">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自评分</w:t>
            </w:r>
          </w:p>
        </w:tc>
        <w:tc>
          <w:tcPr>
            <w:tcW w:w="2767" w:type="dxa"/>
            <w:vAlign w:val="center"/>
          </w:tcPr>
          <w:p w:rsidR="006D234C" w:rsidRDefault="00A41096">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具体指标</w:t>
            </w:r>
            <w:r>
              <w:rPr>
                <w:rFonts w:ascii="仿宋_GB2312" w:hAnsi="宋体" w:cs="宋体" w:hint="eastAsia"/>
                <w:b/>
                <w:kern w:val="0"/>
                <w:sz w:val="21"/>
                <w:szCs w:val="21"/>
              </w:rPr>
              <w:t>说明</w:t>
            </w:r>
          </w:p>
        </w:tc>
        <w:tc>
          <w:tcPr>
            <w:tcW w:w="3105" w:type="dxa"/>
            <w:vAlign w:val="center"/>
          </w:tcPr>
          <w:p w:rsidR="006D234C" w:rsidRDefault="00A41096">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评价标准</w:t>
            </w:r>
          </w:p>
        </w:tc>
      </w:tr>
      <w:tr w:rsidR="006D234C">
        <w:trPr>
          <w:trHeight w:val="702"/>
        </w:trPr>
        <w:tc>
          <w:tcPr>
            <w:tcW w:w="623" w:type="dxa"/>
            <w:vMerge w:val="restart"/>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r>
              <w:rPr>
                <w:rFonts w:ascii="仿宋_GB2312" w:hAnsi="宋体" w:cs="宋体"/>
                <w:kern w:val="0"/>
                <w:sz w:val="21"/>
                <w:szCs w:val="21"/>
              </w:rPr>
              <w:t>20</w:t>
            </w:r>
            <w:r>
              <w:rPr>
                <w:rFonts w:ascii="仿宋_GB2312" w:hAnsi="宋体" w:cs="宋体" w:hint="eastAsia"/>
                <w:kern w:val="0"/>
                <w:sz w:val="21"/>
                <w:szCs w:val="21"/>
              </w:rPr>
              <w:t>分）</w:t>
            </w:r>
          </w:p>
        </w:tc>
        <w:tc>
          <w:tcPr>
            <w:tcW w:w="736" w:type="dxa"/>
            <w:gridSpan w:val="2"/>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w:t>
            </w:r>
          </w:p>
          <w:p w:rsidR="006D234C" w:rsidRDefault="00A41096">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ascii="仿宋_GB2312" w:hAnsi="宋体" w:cs="宋体" w:hint="eastAsia"/>
                <w:kern w:val="0"/>
                <w:sz w:val="21"/>
                <w:szCs w:val="21"/>
              </w:rPr>
              <w:t>分</w:t>
            </w:r>
            <w:r>
              <w:rPr>
                <w:rFonts w:ascii="仿宋_GB2312" w:hAnsi="宋体" w:cs="宋体"/>
                <w:kern w:val="0"/>
                <w:sz w:val="21"/>
                <w:szCs w:val="21"/>
              </w:rPr>
              <w:t>)</w:t>
            </w: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目标内容（</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6D234C" w:rsidRDefault="00A41096">
            <w:pPr>
              <w:spacing w:line="260" w:lineRule="exact"/>
              <w:jc w:val="left"/>
              <w:rPr>
                <w:rFonts w:ascii="仿宋_GB2312" w:hAnsi="宋体" w:cs="宋体"/>
                <w:kern w:val="0"/>
                <w:sz w:val="21"/>
                <w:szCs w:val="21"/>
              </w:rPr>
            </w:pPr>
            <w:r>
              <w:rPr>
                <w:rFonts w:ascii="仿宋_GB2312" w:hAnsi="宋体" w:cs="宋体" w:hint="eastAsia"/>
                <w:kern w:val="0"/>
                <w:sz w:val="21"/>
                <w:szCs w:val="21"/>
              </w:rPr>
              <w:t>设立了相应的经济、社会、生态指标。</w:t>
            </w:r>
          </w:p>
        </w:tc>
        <w:tc>
          <w:tcPr>
            <w:tcW w:w="3105" w:type="dxa"/>
            <w:vAlign w:val="center"/>
          </w:tcPr>
          <w:p w:rsidR="006D234C" w:rsidRDefault="00A41096">
            <w:pPr>
              <w:spacing w:line="260" w:lineRule="exact"/>
              <w:jc w:val="left"/>
              <w:rPr>
                <w:rFonts w:ascii="仿宋_GB2312" w:hAnsi="宋体" w:cs="宋体"/>
                <w:kern w:val="0"/>
                <w:sz w:val="21"/>
                <w:szCs w:val="21"/>
              </w:rPr>
            </w:pPr>
            <w:r>
              <w:rPr>
                <w:rFonts w:ascii="仿宋_GB2312" w:hAnsi="宋体" w:cs="宋体" w:hint="eastAsia"/>
                <w:kern w:val="0"/>
                <w:sz w:val="21"/>
                <w:szCs w:val="21"/>
              </w:rPr>
              <w:t>设有目标（</w:t>
            </w:r>
            <w:r>
              <w:rPr>
                <w:rFonts w:ascii="仿宋_GB2312" w:hAnsi="宋体" w:cs="宋体"/>
                <w:kern w:val="0"/>
                <w:sz w:val="21"/>
                <w:szCs w:val="21"/>
              </w:rPr>
              <w:t>1</w:t>
            </w:r>
            <w:r>
              <w:rPr>
                <w:rFonts w:ascii="仿宋_GB2312" w:hAnsi="宋体" w:cs="宋体" w:hint="eastAsia"/>
                <w:kern w:val="0"/>
                <w:sz w:val="21"/>
                <w:szCs w:val="21"/>
              </w:rPr>
              <w:t>分）目标明确（</w:t>
            </w:r>
            <w:r>
              <w:rPr>
                <w:rFonts w:ascii="仿宋_GB2312" w:hAnsi="宋体" w:cs="宋体"/>
                <w:kern w:val="0"/>
                <w:sz w:val="21"/>
                <w:szCs w:val="21"/>
              </w:rPr>
              <w:t>1</w:t>
            </w:r>
            <w:r>
              <w:rPr>
                <w:rFonts w:ascii="仿宋_GB2312" w:hAnsi="宋体" w:cs="宋体" w:hint="eastAsia"/>
                <w:kern w:val="0"/>
                <w:sz w:val="21"/>
                <w:szCs w:val="21"/>
              </w:rPr>
              <w:t>分）目标细化（</w:t>
            </w:r>
            <w:r>
              <w:rPr>
                <w:rFonts w:ascii="仿宋_GB2312" w:hAnsi="宋体" w:cs="宋体"/>
                <w:kern w:val="0"/>
                <w:sz w:val="21"/>
                <w:szCs w:val="21"/>
              </w:rPr>
              <w:t>1</w:t>
            </w:r>
            <w:r>
              <w:rPr>
                <w:rFonts w:ascii="仿宋_GB2312" w:hAnsi="宋体" w:cs="宋体" w:hint="eastAsia"/>
                <w:kern w:val="0"/>
                <w:sz w:val="21"/>
                <w:szCs w:val="21"/>
              </w:rPr>
              <w:t>分）目标量化（</w:t>
            </w:r>
            <w:r>
              <w:rPr>
                <w:rFonts w:ascii="仿宋_GB2312" w:hAnsi="宋体" w:cs="宋体"/>
                <w:kern w:val="0"/>
                <w:sz w:val="21"/>
                <w:szCs w:val="21"/>
              </w:rPr>
              <w:t>1</w:t>
            </w:r>
            <w:r>
              <w:rPr>
                <w:rFonts w:ascii="仿宋_GB2312" w:hAnsi="宋体" w:cs="宋体" w:hint="eastAsia"/>
                <w:kern w:val="0"/>
                <w:sz w:val="21"/>
                <w:szCs w:val="21"/>
              </w:rPr>
              <w:t>分）</w:t>
            </w:r>
          </w:p>
        </w:tc>
      </w:tr>
      <w:tr w:rsidR="006D234C">
        <w:trPr>
          <w:trHeight w:val="907"/>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restart"/>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过程</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决策依据（</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按照区委区政府决策部署，园区管委会负责统筹建设展示中心，该项目是呈贡区的会客厅和城市名片。</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w:t>
            </w:r>
            <w:r>
              <w:rPr>
                <w:rFonts w:ascii="仿宋_GB2312" w:hAnsi="宋体" w:cs="宋体"/>
                <w:kern w:val="0"/>
                <w:sz w:val="21"/>
                <w:szCs w:val="21"/>
              </w:rPr>
              <w:t>1</w:t>
            </w:r>
            <w:r>
              <w:rPr>
                <w:rFonts w:ascii="仿宋_GB2312" w:hAnsi="宋体" w:cs="宋体" w:hint="eastAsia"/>
                <w:kern w:val="0"/>
                <w:sz w:val="21"/>
                <w:szCs w:val="21"/>
              </w:rPr>
              <w:t>分）符合经济社会发展规划（</w:t>
            </w:r>
            <w:r>
              <w:rPr>
                <w:rFonts w:ascii="仿宋_GB2312" w:hAnsi="宋体" w:cs="宋体"/>
                <w:kern w:val="0"/>
                <w:sz w:val="21"/>
                <w:szCs w:val="21"/>
              </w:rPr>
              <w:t>1</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部门年度工作计划（</w:t>
            </w:r>
            <w:r>
              <w:rPr>
                <w:rFonts w:ascii="仿宋_GB2312" w:hAnsi="宋体" w:cs="宋体"/>
                <w:kern w:val="0"/>
                <w:sz w:val="21"/>
                <w:szCs w:val="21"/>
              </w:rPr>
              <w:t>1</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针对某一实际问题和需求（</w:t>
            </w:r>
            <w:r>
              <w:rPr>
                <w:rFonts w:ascii="仿宋_GB2312" w:hAnsi="宋体" w:cs="宋体"/>
                <w:kern w:val="0"/>
                <w:sz w:val="21"/>
                <w:szCs w:val="21"/>
              </w:rPr>
              <w:t>1</w:t>
            </w:r>
            <w:r>
              <w:rPr>
                <w:rFonts w:ascii="仿宋_GB2312" w:hAnsi="宋体" w:cs="宋体" w:hint="eastAsia"/>
                <w:kern w:val="0"/>
                <w:sz w:val="21"/>
                <w:szCs w:val="21"/>
              </w:rPr>
              <w:t>分）</w:t>
            </w:r>
          </w:p>
        </w:tc>
      </w:tr>
      <w:tr w:rsidR="006D234C">
        <w:trPr>
          <w:trHeight w:val="837"/>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ign w:val="center"/>
          </w:tcPr>
          <w:p w:rsidR="006D234C" w:rsidRDefault="006D234C">
            <w:pPr>
              <w:widowControl/>
              <w:spacing w:line="260" w:lineRule="exact"/>
              <w:jc w:val="left"/>
              <w:rPr>
                <w:rFonts w:ascii="仿宋_GB2312" w:hAnsi="宋体" w:cs="宋体"/>
                <w:kern w:val="0"/>
                <w:sz w:val="21"/>
                <w:szCs w:val="21"/>
              </w:rPr>
            </w:pP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决策程序（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项目获呈贡区发改局批复（呈发改复</w:t>
            </w:r>
            <w:r>
              <w:rPr>
                <w:rFonts w:ascii="仿宋_GB2312" w:hAnsi="仿宋_GB2312" w:cs="仿宋_GB2312" w:hint="eastAsia"/>
                <w:kern w:val="0"/>
                <w:sz w:val="21"/>
                <w:szCs w:val="21"/>
              </w:rPr>
              <w:t>〔</w:t>
            </w:r>
            <w:r>
              <w:rPr>
                <w:rFonts w:ascii="仿宋_GB2312" w:hAnsi="仿宋_GB2312" w:cs="仿宋_GB2312" w:hint="eastAsia"/>
                <w:kern w:val="0"/>
                <w:sz w:val="21"/>
                <w:szCs w:val="21"/>
              </w:rPr>
              <w:t>2017</w:t>
            </w:r>
            <w:r>
              <w:rPr>
                <w:rFonts w:ascii="仿宋_GB2312" w:hAnsi="仿宋_GB2312" w:cs="仿宋_GB2312" w:hint="eastAsia"/>
                <w:kern w:val="0"/>
                <w:sz w:val="21"/>
                <w:szCs w:val="21"/>
              </w:rPr>
              <w:t>〕</w:t>
            </w:r>
            <w:r>
              <w:rPr>
                <w:rFonts w:ascii="仿宋_GB2312" w:hAnsi="仿宋_GB2312" w:cs="仿宋_GB2312" w:hint="eastAsia"/>
                <w:kern w:val="0"/>
                <w:sz w:val="21"/>
                <w:szCs w:val="21"/>
              </w:rPr>
              <w:t>1</w:t>
            </w:r>
            <w:r>
              <w:rPr>
                <w:rFonts w:ascii="仿宋_GB2312" w:hAnsi="仿宋_GB2312" w:cs="仿宋_GB2312" w:hint="eastAsia"/>
                <w:kern w:val="0"/>
                <w:sz w:val="21"/>
                <w:szCs w:val="21"/>
              </w:rPr>
              <w:t>号</w:t>
            </w:r>
            <w:r>
              <w:rPr>
                <w:rFonts w:ascii="仿宋_GB2312" w:hAnsi="宋体" w:cs="宋体" w:hint="eastAsia"/>
                <w:kern w:val="0"/>
                <w:sz w:val="21"/>
                <w:szCs w:val="21"/>
              </w:rPr>
              <w:t>），并通过法定程序招标。</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符合申报条件（</w:t>
            </w:r>
            <w:r>
              <w:rPr>
                <w:rFonts w:ascii="仿宋_GB2312" w:hAnsi="宋体" w:cs="宋体"/>
                <w:kern w:val="0"/>
                <w:sz w:val="21"/>
                <w:szCs w:val="21"/>
              </w:rPr>
              <w:t>2</w:t>
            </w:r>
            <w:r>
              <w:rPr>
                <w:rFonts w:ascii="仿宋_GB2312" w:hAnsi="宋体" w:cs="宋体" w:hint="eastAsia"/>
                <w:kern w:val="0"/>
                <w:sz w:val="21"/>
                <w:szCs w:val="21"/>
              </w:rPr>
              <w:t>分）项目申报、批复程序符合管理办法（</w:t>
            </w:r>
            <w:r>
              <w:rPr>
                <w:rFonts w:ascii="仿宋_GB2312" w:hAnsi="宋体" w:cs="宋体"/>
                <w:kern w:val="0"/>
                <w:sz w:val="21"/>
                <w:szCs w:val="21"/>
              </w:rPr>
              <w:t>1</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项目调整履行了相应手续（</w:t>
            </w:r>
            <w:r>
              <w:rPr>
                <w:rFonts w:ascii="仿宋_GB2312" w:hAnsi="宋体" w:cs="宋体"/>
                <w:kern w:val="0"/>
                <w:sz w:val="21"/>
                <w:szCs w:val="21"/>
              </w:rPr>
              <w:t>1</w:t>
            </w:r>
            <w:r>
              <w:rPr>
                <w:rFonts w:ascii="仿宋_GB2312" w:hAnsi="宋体" w:cs="宋体" w:hint="eastAsia"/>
                <w:kern w:val="0"/>
                <w:sz w:val="21"/>
                <w:szCs w:val="21"/>
              </w:rPr>
              <w:t>分）</w:t>
            </w:r>
          </w:p>
        </w:tc>
      </w:tr>
      <w:tr w:rsidR="006D234C">
        <w:trPr>
          <w:trHeight w:val="907"/>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restart"/>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分配办法（</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制定了资金管理办法，资金各项制度健全规范，并认真做到专款专用。</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有相应的资金管理办法（</w:t>
            </w:r>
            <w:r>
              <w:rPr>
                <w:rFonts w:ascii="仿宋_GB2312" w:hAnsi="宋体" w:cs="宋体"/>
                <w:kern w:val="0"/>
                <w:sz w:val="21"/>
                <w:szCs w:val="21"/>
              </w:rPr>
              <w:t>1</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办法健全、规范（</w:t>
            </w:r>
            <w:r>
              <w:rPr>
                <w:rFonts w:ascii="仿宋_GB2312" w:hAnsi="宋体" w:cs="宋体"/>
                <w:kern w:val="0"/>
                <w:sz w:val="21"/>
                <w:szCs w:val="21"/>
              </w:rPr>
              <w:t>1</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因素全面合理（</w:t>
            </w:r>
            <w:r>
              <w:rPr>
                <w:rFonts w:ascii="仿宋_GB2312" w:hAnsi="宋体" w:cs="宋体"/>
                <w:kern w:val="0"/>
                <w:sz w:val="21"/>
                <w:szCs w:val="21"/>
              </w:rPr>
              <w:t>1</w:t>
            </w:r>
            <w:r>
              <w:rPr>
                <w:rFonts w:ascii="仿宋_GB2312" w:hAnsi="宋体" w:cs="宋体" w:hint="eastAsia"/>
                <w:kern w:val="0"/>
                <w:sz w:val="21"/>
                <w:szCs w:val="21"/>
              </w:rPr>
              <w:t>分）</w:t>
            </w:r>
          </w:p>
        </w:tc>
      </w:tr>
      <w:tr w:rsidR="006D234C">
        <w:trPr>
          <w:trHeight w:val="907"/>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ign w:val="center"/>
          </w:tcPr>
          <w:p w:rsidR="006D234C" w:rsidRDefault="006D234C">
            <w:pPr>
              <w:widowControl/>
              <w:spacing w:line="260" w:lineRule="exact"/>
              <w:jc w:val="left"/>
              <w:rPr>
                <w:rFonts w:ascii="仿宋_GB2312" w:hAnsi="宋体" w:cs="宋体"/>
                <w:kern w:val="0"/>
                <w:sz w:val="21"/>
                <w:szCs w:val="21"/>
              </w:rPr>
            </w:pP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分配结果（</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资金分配公平合理</w:t>
            </w:r>
            <w:r>
              <w:rPr>
                <w:rFonts w:ascii="仿宋_GB2312" w:hAnsi="宋体" w:cs="宋体" w:hint="eastAsia"/>
                <w:kern w:val="0"/>
                <w:sz w:val="21"/>
                <w:szCs w:val="21"/>
              </w:rPr>
              <w:t>。</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符合分配办法（</w:t>
            </w:r>
            <w:r>
              <w:rPr>
                <w:rFonts w:ascii="仿宋_GB2312" w:hAnsi="宋体" w:cs="宋体"/>
                <w:kern w:val="0"/>
                <w:sz w:val="21"/>
                <w:szCs w:val="21"/>
              </w:rPr>
              <w:t>2</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分配公平合理（</w:t>
            </w:r>
            <w:r>
              <w:rPr>
                <w:rFonts w:ascii="仿宋_GB2312" w:hAnsi="宋体" w:cs="宋体"/>
                <w:kern w:val="0"/>
                <w:sz w:val="21"/>
                <w:szCs w:val="21"/>
              </w:rPr>
              <w:t>3</w:t>
            </w:r>
            <w:r>
              <w:rPr>
                <w:rFonts w:ascii="仿宋_GB2312" w:hAnsi="宋体" w:cs="宋体" w:hint="eastAsia"/>
                <w:kern w:val="0"/>
                <w:sz w:val="21"/>
                <w:szCs w:val="21"/>
              </w:rPr>
              <w:t>分）</w:t>
            </w:r>
          </w:p>
        </w:tc>
      </w:tr>
      <w:tr w:rsidR="006D234C">
        <w:trPr>
          <w:trHeight w:val="747"/>
        </w:trPr>
        <w:tc>
          <w:tcPr>
            <w:tcW w:w="623" w:type="dxa"/>
            <w:vMerge w:val="restart"/>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5</w:t>
            </w:r>
            <w:r>
              <w:rPr>
                <w:rFonts w:ascii="仿宋_GB2312" w:hAnsi="宋体" w:cs="宋体" w:hint="eastAsia"/>
                <w:kern w:val="0"/>
                <w:sz w:val="21"/>
                <w:szCs w:val="21"/>
              </w:rPr>
              <w:t>分）</w:t>
            </w: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到位率</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到位率</w:t>
            </w:r>
            <w:r>
              <w:rPr>
                <w:rFonts w:ascii="仿宋_GB2312" w:hAnsi="宋体" w:cs="宋体" w:hint="eastAsia"/>
                <w:kern w:val="0"/>
                <w:sz w:val="21"/>
                <w:szCs w:val="21"/>
              </w:rPr>
              <w:t>100%</w:t>
            </w:r>
            <w:r>
              <w:rPr>
                <w:rFonts w:ascii="仿宋_GB2312" w:hAnsi="宋体" w:cs="宋体" w:hint="eastAsia"/>
                <w:kern w:val="0"/>
                <w:sz w:val="21"/>
                <w:szCs w:val="21"/>
              </w:rPr>
              <w:t>。</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根据项目资金的实际到位率计算得分</w:t>
            </w:r>
          </w:p>
        </w:tc>
      </w:tr>
      <w:tr w:rsidR="006D234C">
        <w:trPr>
          <w:trHeight w:val="907"/>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ign w:val="center"/>
          </w:tcPr>
          <w:p w:rsidR="006D234C" w:rsidRDefault="006D234C">
            <w:pPr>
              <w:widowControl/>
              <w:spacing w:line="260" w:lineRule="exact"/>
              <w:jc w:val="left"/>
              <w:rPr>
                <w:rFonts w:ascii="仿宋_GB2312" w:hAnsi="宋体" w:cs="宋体"/>
                <w:kern w:val="0"/>
                <w:sz w:val="21"/>
                <w:szCs w:val="21"/>
              </w:rPr>
            </w:pP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到位时效（</w:t>
            </w:r>
            <w:r>
              <w:rPr>
                <w:rFonts w:ascii="仿宋_GB2312" w:hAnsi="宋体" w:cs="宋体"/>
                <w:kern w:val="0"/>
                <w:sz w:val="21"/>
                <w:szCs w:val="21"/>
              </w:rPr>
              <w:t>2</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到位及时。</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到位及时（</w:t>
            </w:r>
            <w:r>
              <w:rPr>
                <w:rFonts w:ascii="仿宋_GB2312" w:hAnsi="宋体" w:cs="宋体"/>
                <w:kern w:val="0"/>
                <w:sz w:val="21"/>
                <w:szCs w:val="21"/>
              </w:rPr>
              <w:t>2</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不及时但未影响项目进度（</w:t>
            </w:r>
            <w:r>
              <w:rPr>
                <w:rFonts w:ascii="仿宋_GB2312" w:hAnsi="宋体" w:cs="宋体"/>
                <w:kern w:val="0"/>
                <w:sz w:val="21"/>
                <w:szCs w:val="21"/>
              </w:rPr>
              <w:t>1</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不及时并影响项目进度（</w:t>
            </w:r>
            <w:r>
              <w:rPr>
                <w:rFonts w:ascii="仿宋_GB2312" w:hAnsi="宋体" w:cs="宋体"/>
                <w:kern w:val="0"/>
                <w:sz w:val="21"/>
                <w:szCs w:val="21"/>
              </w:rPr>
              <w:t>0.5</w:t>
            </w:r>
            <w:r>
              <w:rPr>
                <w:rFonts w:ascii="仿宋_GB2312" w:hAnsi="宋体" w:cs="宋体" w:hint="eastAsia"/>
                <w:kern w:val="0"/>
                <w:sz w:val="21"/>
                <w:szCs w:val="21"/>
              </w:rPr>
              <w:t>分）</w:t>
            </w:r>
          </w:p>
        </w:tc>
      </w:tr>
      <w:tr w:rsidR="006D234C">
        <w:trPr>
          <w:trHeight w:val="907"/>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restart"/>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资金使用（</w:t>
            </w:r>
            <w:r>
              <w:rPr>
                <w:rFonts w:ascii="仿宋_GB2312" w:hAnsi="宋体" w:cs="宋体"/>
                <w:kern w:val="0"/>
                <w:sz w:val="21"/>
                <w:szCs w:val="21"/>
              </w:rPr>
              <w:t>7</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经园区管委会</w:t>
            </w:r>
            <w:r>
              <w:rPr>
                <w:rFonts w:ascii="仿宋_GB2312" w:hAnsi="宋体" w:cs="宋体" w:hint="eastAsia"/>
                <w:kern w:val="0"/>
                <w:sz w:val="21"/>
                <w:szCs w:val="21"/>
              </w:rPr>
              <w:t>主任办公会研究同意并按流程拨付。</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虚列套取扣</w:t>
            </w:r>
            <w:r>
              <w:rPr>
                <w:rFonts w:ascii="仿宋_GB2312" w:hAnsi="宋体" w:cs="宋体"/>
                <w:kern w:val="0"/>
                <w:sz w:val="21"/>
                <w:szCs w:val="21"/>
              </w:rPr>
              <w:t>4-7</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依据不合规扣</w:t>
            </w:r>
            <w:r>
              <w:rPr>
                <w:rFonts w:ascii="仿宋_GB2312" w:hAnsi="宋体" w:cs="宋体"/>
                <w:kern w:val="0"/>
                <w:sz w:val="21"/>
                <w:szCs w:val="21"/>
              </w:rPr>
              <w:t>2</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截留、挤占、挪用扣</w:t>
            </w:r>
            <w:r>
              <w:rPr>
                <w:rFonts w:ascii="仿宋_GB2312" w:hAnsi="宋体" w:cs="宋体"/>
                <w:kern w:val="0"/>
                <w:sz w:val="21"/>
                <w:szCs w:val="21"/>
              </w:rPr>
              <w:t>3-6</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超标准开支扣</w:t>
            </w:r>
            <w:r>
              <w:rPr>
                <w:rFonts w:ascii="仿宋_GB2312" w:hAnsi="宋体" w:cs="宋体"/>
                <w:kern w:val="0"/>
                <w:sz w:val="21"/>
                <w:szCs w:val="21"/>
              </w:rPr>
              <w:t>2-5</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超预算扣</w:t>
            </w:r>
            <w:r>
              <w:rPr>
                <w:rFonts w:ascii="仿宋_GB2312" w:hAnsi="宋体" w:cs="宋体"/>
                <w:kern w:val="0"/>
                <w:sz w:val="21"/>
                <w:szCs w:val="21"/>
              </w:rPr>
              <w:t>2-5</w:t>
            </w:r>
            <w:r>
              <w:rPr>
                <w:rFonts w:ascii="仿宋_GB2312" w:hAnsi="宋体" w:cs="宋体" w:hint="eastAsia"/>
                <w:kern w:val="0"/>
                <w:sz w:val="21"/>
                <w:szCs w:val="21"/>
              </w:rPr>
              <w:t>分</w:t>
            </w:r>
          </w:p>
        </w:tc>
      </w:tr>
      <w:tr w:rsidR="006D234C">
        <w:trPr>
          <w:trHeight w:val="907"/>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ign w:val="center"/>
          </w:tcPr>
          <w:p w:rsidR="006D234C" w:rsidRDefault="006D234C">
            <w:pPr>
              <w:widowControl/>
              <w:spacing w:line="260" w:lineRule="exact"/>
              <w:jc w:val="left"/>
              <w:rPr>
                <w:rFonts w:ascii="仿宋_GB2312" w:hAnsi="宋体" w:cs="宋体"/>
                <w:kern w:val="0"/>
                <w:sz w:val="21"/>
                <w:szCs w:val="21"/>
              </w:rPr>
            </w:pP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财务管理（</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制度健全、核算规范，并严格执行。</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财务制度健全（</w:t>
            </w:r>
            <w:r>
              <w:rPr>
                <w:rFonts w:ascii="仿宋_GB2312" w:hAnsi="宋体" w:cs="宋体"/>
                <w:kern w:val="0"/>
                <w:sz w:val="21"/>
                <w:szCs w:val="21"/>
              </w:rPr>
              <w:t>1</w:t>
            </w:r>
            <w:r>
              <w:rPr>
                <w:rFonts w:ascii="仿宋_GB2312" w:hAnsi="宋体" w:cs="宋体" w:hint="eastAsia"/>
                <w:kern w:val="0"/>
                <w:sz w:val="21"/>
                <w:szCs w:val="21"/>
              </w:rPr>
              <w:t>分）严格执行制度（</w:t>
            </w:r>
            <w:r>
              <w:rPr>
                <w:rFonts w:ascii="仿宋_GB2312" w:hAnsi="宋体" w:cs="宋体"/>
                <w:kern w:val="0"/>
                <w:sz w:val="21"/>
                <w:szCs w:val="21"/>
              </w:rPr>
              <w:t>1</w:t>
            </w:r>
            <w:r>
              <w:rPr>
                <w:rFonts w:ascii="仿宋_GB2312" w:hAnsi="宋体" w:cs="宋体" w:hint="eastAsia"/>
                <w:kern w:val="0"/>
                <w:sz w:val="21"/>
                <w:szCs w:val="21"/>
              </w:rPr>
              <w:t>分）会计核算规范（</w:t>
            </w:r>
            <w:r>
              <w:rPr>
                <w:rFonts w:ascii="仿宋_GB2312" w:hAnsi="宋体" w:cs="宋体"/>
                <w:kern w:val="0"/>
                <w:sz w:val="21"/>
                <w:szCs w:val="21"/>
              </w:rPr>
              <w:t>1</w:t>
            </w:r>
            <w:r>
              <w:rPr>
                <w:rFonts w:ascii="仿宋_GB2312" w:hAnsi="宋体" w:cs="宋体" w:hint="eastAsia"/>
                <w:kern w:val="0"/>
                <w:sz w:val="21"/>
                <w:szCs w:val="21"/>
              </w:rPr>
              <w:t>分）</w:t>
            </w:r>
          </w:p>
        </w:tc>
      </w:tr>
      <w:tr w:rsidR="006D234C">
        <w:trPr>
          <w:trHeight w:val="907"/>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组织机构（</w:t>
            </w:r>
            <w:r>
              <w:rPr>
                <w:rFonts w:ascii="仿宋_GB2312" w:hAnsi="宋体" w:cs="宋体"/>
                <w:kern w:val="0"/>
                <w:sz w:val="21"/>
                <w:szCs w:val="21"/>
              </w:rPr>
              <w:t>1</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呈贡区委区政府成立了领导小组统一指挥，园区管委会负责具体落实执行。</w:t>
            </w:r>
          </w:p>
        </w:tc>
        <w:tc>
          <w:tcPr>
            <w:tcW w:w="3105" w:type="dxa"/>
            <w:vAlign w:val="center"/>
          </w:tcPr>
          <w:p w:rsidR="006D234C" w:rsidRDefault="00A41096" w:rsidP="006D234C">
            <w:pPr>
              <w:widowControl/>
              <w:spacing w:line="260" w:lineRule="exact"/>
              <w:ind w:left="187" w:hangingChars="100" w:hanging="187"/>
              <w:jc w:val="left"/>
              <w:rPr>
                <w:rFonts w:ascii="仿宋_GB2312" w:hAnsi="宋体" w:cs="宋体"/>
                <w:kern w:val="0"/>
                <w:sz w:val="21"/>
                <w:szCs w:val="21"/>
              </w:rPr>
            </w:pPr>
            <w:r>
              <w:rPr>
                <w:rFonts w:ascii="仿宋_GB2312" w:hAnsi="宋体" w:cs="宋体" w:hint="eastAsia"/>
                <w:kern w:val="0"/>
                <w:sz w:val="21"/>
                <w:szCs w:val="21"/>
              </w:rPr>
              <w:t>机构健全、分工明确（</w:t>
            </w:r>
            <w:r>
              <w:rPr>
                <w:rFonts w:ascii="仿宋_GB2312" w:hAnsi="宋体" w:cs="宋体"/>
                <w:kern w:val="0"/>
                <w:sz w:val="21"/>
                <w:szCs w:val="21"/>
              </w:rPr>
              <w:t>1</w:t>
            </w:r>
            <w:r>
              <w:rPr>
                <w:rFonts w:ascii="仿宋_GB2312" w:hAnsi="宋体" w:cs="宋体" w:hint="eastAsia"/>
                <w:kern w:val="0"/>
                <w:sz w:val="21"/>
                <w:szCs w:val="21"/>
              </w:rPr>
              <w:t>分）</w:t>
            </w:r>
          </w:p>
        </w:tc>
      </w:tr>
      <w:tr w:rsidR="006D234C">
        <w:trPr>
          <w:trHeight w:val="879"/>
        </w:trPr>
        <w:tc>
          <w:tcPr>
            <w:tcW w:w="623" w:type="dxa"/>
            <w:vMerge w:val="restart"/>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项目按计划于</w:t>
            </w:r>
            <w:r>
              <w:rPr>
                <w:rFonts w:ascii="仿宋_GB2312" w:hAnsi="宋体" w:cs="宋体" w:hint="eastAsia"/>
                <w:kern w:val="0"/>
                <w:sz w:val="21"/>
                <w:szCs w:val="21"/>
              </w:rPr>
              <w:t>2017</w:t>
            </w:r>
            <w:r>
              <w:rPr>
                <w:rFonts w:ascii="仿宋_GB2312" w:hAnsi="宋体" w:cs="宋体" w:hint="eastAsia"/>
                <w:kern w:val="0"/>
                <w:sz w:val="21"/>
                <w:szCs w:val="21"/>
              </w:rPr>
              <w:t>年</w:t>
            </w:r>
            <w:r>
              <w:rPr>
                <w:rFonts w:ascii="仿宋_GB2312" w:hAnsi="宋体" w:cs="宋体" w:hint="eastAsia"/>
                <w:kern w:val="0"/>
                <w:sz w:val="21"/>
                <w:szCs w:val="21"/>
              </w:rPr>
              <w:t>开工，并于</w:t>
            </w:r>
            <w:r>
              <w:rPr>
                <w:rFonts w:ascii="仿宋_GB2312" w:hAnsi="宋体" w:cs="宋体" w:hint="eastAsia"/>
                <w:kern w:val="0"/>
                <w:sz w:val="21"/>
                <w:szCs w:val="21"/>
              </w:rPr>
              <w:t>2019</w:t>
            </w:r>
            <w:r>
              <w:rPr>
                <w:rFonts w:ascii="仿宋_GB2312" w:hAnsi="宋体" w:cs="宋体" w:hint="eastAsia"/>
                <w:kern w:val="0"/>
                <w:sz w:val="21"/>
                <w:szCs w:val="21"/>
              </w:rPr>
              <w:t>年完成建设和通过呈贡区审计局审计</w:t>
            </w:r>
            <w:r>
              <w:rPr>
                <w:rFonts w:ascii="仿宋_GB2312" w:hAnsi="宋体" w:cs="宋体" w:hint="eastAsia"/>
                <w:kern w:val="0"/>
                <w:sz w:val="21"/>
                <w:szCs w:val="21"/>
              </w:rPr>
              <w:t>。</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按计划开工（</w:t>
            </w:r>
            <w:r>
              <w:rPr>
                <w:rFonts w:ascii="仿宋_GB2312" w:hAnsi="宋体" w:cs="宋体"/>
                <w:kern w:val="0"/>
                <w:sz w:val="21"/>
                <w:szCs w:val="21"/>
              </w:rPr>
              <w:t>1</w:t>
            </w:r>
            <w:r>
              <w:rPr>
                <w:rFonts w:ascii="仿宋_GB2312" w:hAnsi="宋体" w:cs="宋体" w:hint="eastAsia"/>
                <w:kern w:val="0"/>
                <w:sz w:val="21"/>
                <w:szCs w:val="21"/>
              </w:rPr>
              <w:t>分）按计划开展（</w:t>
            </w:r>
            <w:r>
              <w:rPr>
                <w:rFonts w:ascii="仿宋_GB2312" w:hAnsi="宋体" w:cs="宋体"/>
                <w:kern w:val="0"/>
                <w:sz w:val="21"/>
                <w:szCs w:val="21"/>
              </w:rPr>
              <w:t>1</w:t>
            </w:r>
            <w:r>
              <w:rPr>
                <w:rFonts w:ascii="仿宋_GB2312" w:hAnsi="宋体" w:cs="宋体" w:hint="eastAsia"/>
                <w:kern w:val="0"/>
                <w:sz w:val="21"/>
                <w:szCs w:val="21"/>
              </w:rPr>
              <w:t>分）按计划完工（</w:t>
            </w:r>
            <w:r>
              <w:rPr>
                <w:rFonts w:ascii="仿宋_GB2312" w:hAnsi="宋体" w:cs="宋体"/>
                <w:kern w:val="0"/>
                <w:sz w:val="21"/>
                <w:szCs w:val="21"/>
              </w:rPr>
              <w:t>1</w:t>
            </w:r>
            <w:r>
              <w:rPr>
                <w:rFonts w:ascii="仿宋_GB2312" w:hAnsi="宋体" w:cs="宋体" w:hint="eastAsia"/>
                <w:kern w:val="0"/>
                <w:sz w:val="21"/>
                <w:szCs w:val="21"/>
              </w:rPr>
              <w:t>分）</w:t>
            </w:r>
          </w:p>
        </w:tc>
      </w:tr>
      <w:tr w:rsidR="006D234C">
        <w:trPr>
          <w:trHeight w:val="879"/>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ign w:val="center"/>
          </w:tcPr>
          <w:p w:rsidR="006D234C" w:rsidRDefault="006D234C">
            <w:pPr>
              <w:widowControl/>
              <w:spacing w:line="260" w:lineRule="exact"/>
              <w:jc w:val="left"/>
              <w:rPr>
                <w:rFonts w:ascii="仿宋_GB2312" w:hAnsi="宋体" w:cs="宋体"/>
                <w:kern w:val="0"/>
                <w:sz w:val="21"/>
                <w:szCs w:val="21"/>
              </w:rPr>
            </w:pP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管理制度（</w:t>
            </w:r>
            <w:r>
              <w:rPr>
                <w:rFonts w:ascii="仿宋_GB2312" w:hAnsi="宋体" w:cs="宋体"/>
                <w:kern w:val="0"/>
                <w:sz w:val="21"/>
                <w:szCs w:val="21"/>
              </w:rPr>
              <w:t>6</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6</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项目管理制度健全</w:t>
            </w:r>
            <w:r>
              <w:rPr>
                <w:rFonts w:ascii="仿宋_GB2312" w:hAnsi="宋体" w:cs="宋体" w:hint="eastAsia"/>
                <w:kern w:val="0"/>
                <w:sz w:val="21"/>
                <w:szCs w:val="21"/>
              </w:rPr>
              <w:t>并严格执行。</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管理制度健全（</w:t>
            </w:r>
            <w:r>
              <w:rPr>
                <w:rFonts w:ascii="仿宋_GB2312" w:hAnsi="宋体" w:cs="宋体"/>
                <w:kern w:val="0"/>
                <w:sz w:val="21"/>
                <w:szCs w:val="21"/>
              </w:rPr>
              <w:t>2</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制度执行严格（</w:t>
            </w:r>
            <w:r>
              <w:rPr>
                <w:rFonts w:ascii="仿宋_GB2312" w:hAnsi="宋体" w:cs="宋体"/>
                <w:kern w:val="0"/>
                <w:sz w:val="21"/>
                <w:szCs w:val="21"/>
              </w:rPr>
              <w:t>4</w:t>
            </w:r>
            <w:r>
              <w:rPr>
                <w:rFonts w:ascii="仿宋_GB2312" w:hAnsi="宋体" w:cs="宋体" w:hint="eastAsia"/>
                <w:kern w:val="0"/>
                <w:sz w:val="21"/>
                <w:szCs w:val="21"/>
              </w:rPr>
              <w:t>分）</w:t>
            </w:r>
          </w:p>
        </w:tc>
      </w:tr>
      <w:tr w:rsidR="006D234C">
        <w:trPr>
          <w:trHeight w:val="879"/>
        </w:trPr>
        <w:tc>
          <w:tcPr>
            <w:tcW w:w="623" w:type="dxa"/>
            <w:vMerge w:val="restart"/>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绩效（</w:t>
            </w:r>
            <w:r>
              <w:rPr>
                <w:rFonts w:ascii="仿宋_GB2312" w:hAnsi="宋体" w:cs="宋体"/>
                <w:kern w:val="0"/>
                <w:sz w:val="21"/>
                <w:szCs w:val="21"/>
              </w:rPr>
              <w:t>55</w:t>
            </w:r>
            <w:r>
              <w:rPr>
                <w:rFonts w:ascii="仿宋_GB2312" w:hAnsi="宋体" w:cs="宋体" w:hint="eastAsia"/>
                <w:kern w:val="0"/>
                <w:sz w:val="21"/>
                <w:szCs w:val="21"/>
              </w:rPr>
              <w:t>分）</w:t>
            </w:r>
          </w:p>
        </w:tc>
        <w:tc>
          <w:tcPr>
            <w:tcW w:w="736" w:type="dxa"/>
            <w:gridSpan w:val="2"/>
            <w:vMerge w:val="restart"/>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w:t>
            </w:r>
            <w:r>
              <w:rPr>
                <w:rFonts w:ascii="仿宋_GB2312" w:hAnsi="宋体" w:cs="宋体"/>
                <w:kern w:val="0"/>
                <w:sz w:val="21"/>
                <w:szCs w:val="21"/>
              </w:rPr>
              <w:t>(15</w:t>
            </w:r>
            <w:r>
              <w:rPr>
                <w:rFonts w:ascii="仿宋_GB2312" w:hAnsi="宋体" w:cs="宋体" w:hint="eastAsia"/>
                <w:kern w:val="0"/>
                <w:sz w:val="21"/>
                <w:szCs w:val="21"/>
              </w:rPr>
              <w:t>分）</w:t>
            </w: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产出数量（</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展示中心已按时按质完成建设。</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对照绩效目标，按实际产出数量率计算得分（</w:t>
            </w:r>
            <w:r>
              <w:rPr>
                <w:rFonts w:ascii="仿宋_GB2312" w:hAnsi="宋体" w:cs="宋体"/>
                <w:kern w:val="0"/>
                <w:sz w:val="21"/>
                <w:szCs w:val="21"/>
              </w:rPr>
              <w:t>5</w:t>
            </w:r>
            <w:r>
              <w:rPr>
                <w:rFonts w:ascii="仿宋_GB2312" w:hAnsi="宋体" w:cs="宋体" w:hint="eastAsia"/>
                <w:kern w:val="0"/>
                <w:sz w:val="21"/>
                <w:szCs w:val="21"/>
              </w:rPr>
              <w:t>分）</w:t>
            </w:r>
          </w:p>
        </w:tc>
      </w:tr>
      <w:tr w:rsidR="006D234C">
        <w:trPr>
          <w:trHeight w:val="879"/>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ign w:val="center"/>
          </w:tcPr>
          <w:p w:rsidR="006D234C" w:rsidRDefault="006D234C">
            <w:pPr>
              <w:widowControl/>
              <w:spacing w:line="260" w:lineRule="exact"/>
              <w:jc w:val="left"/>
              <w:rPr>
                <w:rFonts w:ascii="仿宋_GB2312" w:hAnsi="宋体" w:cs="宋体"/>
                <w:kern w:val="0"/>
                <w:sz w:val="21"/>
                <w:szCs w:val="21"/>
              </w:rPr>
            </w:pP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产出质量（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展示中心竣工验收合格，通过了区审计局审计。现正常运营，并多次接待各级领导和省内外、国内外来宾。</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对照绩效目标，按实际产出质量率计算得分（</w:t>
            </w:r>
            <w:r>
              <w:rPr>
                <w:rFonts w:ascii="仿宋_GB2312" w:hAnsi="宋体" w:cs="宋体"/>
                <w:kern w:val="0"/>
                <w:sz w:val="21"/>
                <w:szCs w:val="21"/>
              </w:rPr>
              <w:t>4</w:t>
            </w:r>
            <w:r>
              <w:rPr>
                <w:rFonts w:ascii="仿宋_GB2312" w:hAnsi="宋体" w:cs="宋体" w:hint="eastAsia"/>
                <w:kern w:val="0"/>
                <w:sz w:val="21"/>
                <w:szCs w:val="21"/>
              </w:rPr>
              <w:t>分）</w:t>
            </w:r>
          </w:p>
        </w:tc>
      </w:tr>
      <w:tr w:rsidR="006D234C">
        <w:trPr>
          <w:trHeight w:val="879"/>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ign w:val="center"/>
          </w:tcPr>
          <w:p w:rsidR="006D234C" w:rsidRDefault="006D234C">
            <w:pPr>
              <w:widowControl/>
              <w:spacing w:line="260" w:lineRule="exact"/>
              <w:jc w:val="left"/>
              <w:rPr>
                <w:rFonts w:ascii="仿宋_GB2312" w:hAnsi="宋体" w:cs="宋体"/>
                <w:kern w:val="0"/>
                <w:sz w:val="21"/>
                <w:szCs w:val="21"/>
              </w:rPr>
            </w:pP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产出时效（</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项目按时完成建设并及时投入运营。</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对照绩效目标，按实际产出时效率计算得分（</w:t>
            </w:r>
            <w:r>
              <w:rPr>
                <w:rFonts w:ascii="仿宋_GB2312" w:hAnsi="宋体" w:cs="宋体"/>
                <w:kern w:val="0"/>
                <w:sz w:val="21"/>
                <w:szCs w:val="21"/>
              </w:rPr>
              <w:t>3</w:t>
            </w:r>
            <w:r>
              <w:rPr>
                <w:rFonts w:ascii="仿宋_GB2312" w:hAnsi="宋体" w:cs="宋体" w:hint="eastAsia"/>
                <w:kern w:val="0"/>
                <w:sz w:val="21"/>
                <w:szCs w:val="21"/>
              </w:rPr>
              <w:t>分）</w:t>
            </w:r>
          </w:p>
        </w:tc>
      </w:tr>
      <w:tr w:rsidR="006D234C">
        <w:trPr>
          <w:trHeight w:val="879"/>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ign w:val="center"/>
          </w:tcPr>
          <w:p w:rsidR="006D234C" w:rsidRDefault="006D234C">
            <w:pPr>
              <w:widowControl/>
              <w:spacing w:line="260" w:lineRule="exact"/>
              <w:jc w:val="left"/>
              <w:rPr>
                <w:rFonts w:ascii="仿宋_GB2312" w:hAnsi="宋体" w:cs="宋体"/>
                <w:kern w:val="0"/>
                <w:sz w:val="21"/>
                <w:szCs w:val="21"/>
              </w:rPr>
            </w:pP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产出成本（</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满足产出要求。</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对照绩效目标，按实际产出成本率计算得分（</w:t>
            </w:r>
            <w:r>
              <w:rPr>
                <w:rFonts w:ascii="仿宋_GB2312" w:hAnsi="宋体" w:cs="宋体"/>
                <w:kern w:val="0"/>
                <w:sz w:val="21"/>
                <w:szCs w:val="21"/>
              </w:rPr>
              <w:t>3</w:t>
            </w:r>
            <w:r>
              <w:rPr>
                <w:rFonts w:ascii="仿宋_GB2312" w:hAnsi="宋体" w:cs="宋体" w:hint="eastAsia"/>
                <w:kern w:val="0"/>
                <w:sz w:val="21"/>
                <w:szCs w:val="21"/>
              </w:rPr>
              <w:t>分）</w:t>
            </w:r>
          </w:p>
        </w:tc>
      </w:tr>
      <w:tr w:rsidR="006D234C">
        <w:trPr>
          <w:trHeight w:val="879"/>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restart"/>
            <w:vAlign w:val="center"/>
          </w:tcPr>
          <w:p w:rsidR="006D234C" w:rsidRDefault="006D234C">
            <w:pPr>
              <w:widowControl/>
              <w:spacing w:line="260" w:lineRule="exact"/>
              <w:rPr>
                <w:rFonts w:ascii="仿宋_GB2312" w:hAnsi="宋体" w:cs="宋体"/>
                <w:kern w:val="0"/>
                <w:sz w:val="21"/>
                <w:szCs w:val="21"/>
              </w:rPr>
            </w:pP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效果</w:t>
            </w:r>
            <w:r>
              <w:rPr>
                <w:rFonts w:ascii="仿宋_GB2312" w:hAnsi="宋体" w:cs="宋体"/>
                <w:kern w:val="0"/>
                <w:sz w:val="21"/>
                <w:szCs w:val="21"/>
              </w:rPr>
              <w:t>(40</w:t>
            </w:r>
            <w:r>
              <w:rPr>
                <w:rFonts w:ascii="仿宋_GB2312" w:hAnsi="宋体" w:cs="宋体" w:hint="eastAsia"/>
                <w:kern w:val="0"/>
                <w:sz w:val="21"/>
                <w:szCs w:val="21"/>
              </w:rPr>
              <w:t>分）</w:t>
            </w: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经济效益（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通过</w:t>
            </w:r>
            <w:r>
              <w:rPr>
                <w:rFonts w:ascii="仿宋_GB2312" w:hAnsi="宋体" w:cs="宋体" w:hint="eastAsia"/>
                <w:kern w:val="0"/>
                <w:sz w:val="21"/>
                <w:szCs w:val="21"/>
              </w:rPr>
              <w:t>项目建设和运营，直接带动片区就业和经济发展，并将为呈贡区带来更多发展机会</w:t>
            </w:r>
            <w:r>
              <w:rPr>
                <w:rFonts w:ascii="仿宋_GB2312" w:hAnsi="宋体" w:cs="宋体" w:hint="eastAsia"/>
                <w:kern w:val="0"/>
                <w:sz w:val="21"/>
                <w:szCs w:val="21"/>
              </w:rPr>
              <w:t>。</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对照绩效目标，按经济效益实现程度计算得分（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6D234C">
        <w:trPr>
          <w:trHeight w:val="879"/>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ign w:val="center"/>
          </w:tcPr>
          <w:p w:rsidR="006D234C" w:rsidRDefault="006D234C">
            <w:pPr>
              <w:widowControl/>
              <w:spacing w:line="260" w:lineRule="exact"/>
              <w:jc w:val="left"/>
              <w:rPr>
                <w:rFonts w:ascii="仿宋_GB2312" w:hAnsi="宋体" w:cs="宋体"/>
                <w:kern w:val="0"/>
                <w:sz w:val="21"/>
                <w:szCs w:val="21"/>
              </w:rPr>
            </w:pP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社会效益（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通过</w:t>
            </w:r>
            <w:r>
              <w:rPr>
                <w:rFonts w:ascii="仿宋_GB2312" w:hAnsi="宋体" w:cs="宋体" w:hint="eastAsia"/>
                <w:kern w:val="0"/>
                <w:sz w:val="21"/>
                <w:szCs w:val="21"/>
              </w:rPr>
              <w:t>向广大市民展示呈贡区发展风貌，凝心聚力，共同推动呈贡区社会各项事业</w:t>
            </w:r>
            <w:r>
              <w:rPr>
                <w:rFonts w:ascii="仿宋_GB2312" w:hAnsi="宋体" w:cs="宋体" w:hint="eastAsia"/>
                <w:kern w:val="0"/>
                <w:sz w:val="21"/>
                <w:szCs w:val="21"/>
              </w:rPr>
              <w:t>发展。</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对照绩效目标，按社会效益实现程度计算得分（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6D234C">
        <w:trPr>
          <w:trHeight w:val="879"/>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ign w:val="center"/>
          </w:tcPr>
          <w:p w:rsidR="006D234C" w:rsidRDefault="006D234C">
            <w:pPr>
              <w:widowControl/>
              <w:spacing w:line="260" w:lineRule="exact"/>
              <w:jc w:val="left"/>
              <w:rPr>
                <w:rFonts w:ascii="仿宋_GB2312" w:hAnsi="宋体" w:cs="宋体"/>
                <w:kern w:val="0"/>
                <w:sz w:val="21"/>
                <w:szCs w:val="21"/>
              </w:rPr>
            </w:pP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环境效益（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贯彻落实</w:t>
            </w:r>
            <w:r>
              <w:rPr>
                <w:rFonts w:ascii="仿宋_GB2312" w:hAnsi="宋体" w:cs="宋体" w:hint="eastAsia"/>
                <w:kern w:val="0"/>
                <w:sz w:val="21"/>
                <w:szCs w:val="21"/>
              </w:rPr>
              <w:t>并宣传好</w:t>
            </w:r>
            <w:r>
              <w:rPr>
                <w:rFonts w:ascii="仿宋_GB2312" w:hAnsi="宋体" w:cs="宋体" w:hint="eastAsia"/>
                <w:kern w:val="0"/>
                <w:sz w:val="21"/>
                <w:szCs w:val="21"/>
              </w:rPr>
              <w:t>习近平生态文明思想，</w:t>
            </w:r>
            <w:r>
              <w:rPr>
                <w:rFonts w:ascii="仿宋_GB2312" w:hAnsi="宋体" w:cs="宋体" w:hint="eastAsia"/>
                <w:kern w:val="0"/>
                <w:sz w:val="21"/>
                <w:szCs w:val="21"/>
              </w:rPr>
              <w:t>切实把呈贡区打造成世界春城花都</w:t>
            </w:r>
            <w:r>
              <w:rPr>
                <w:rFonts w:ascii="仿宋_GB2312" w:hAnsi="宋体" w:cs="宋体" w:hint="eastAsia"/>
                <w:kern w:val="0"/>
                <w:sz w:val="21"/>
                <w:szCs w:val="21"/>
              </w:rPr>
              <w:t>。</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对照绩效目标，按对环境所产生的实际影响程度计算得分（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6D234C">
        <w:trPr>
          <w:trHeight w:val="879"/>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ign w:val="center"/>
          </w:tcPr>
          <w:p w:rsidR="006D234C" w:rsidRDefault="006D234C">
            <w:pPr>
              <w:widowControl/>
              <w:spacing w:line="260" w:lineRule="exact"/>
              <w:jc w:val="left"/>
              <w:rPr>
                <w:rFonts w:ascii="仿宋_GB2312" w:hAnsi="宋体" w:cs="宋体"/>
                <w:kern w:val="0"/>
                <w:sz w:val="21"/>
                <w:szCs w:val="21"/>
              </w:rPr>
            </w:pP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可持续影响（</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展示中心是呈贡区的会客厅和城市名片，将持续发挥效能</w:t>
            </w:r>
            <w:r>
              <w:rPr>
                <w:rFonts w:ascii="仿宋_GB2312" w:hAnsi="宋体" w:cs="宋体" w:hint="eastAsia"/>
                <w:kern w:val="0"/>
                <w:sz w:val="21"/>
                <w:szCs w:val="21"/>
              </w:rPr>
              <w:t>。</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w:t>
            </w:r>
            <w:r>
              <w:rPr>
                <w:rFonts w:ascii="仿宋_GB2312" w:hAnsi="宋体" w:cs="宋体"/>
                <w:kern w:val="0"/>
                <w:sz w:val="21"/>
                <w:szCs w:val="21"/>
              </w:rPr>
              <w:t>4</w:t>
            </w:r>
            <w:r>
              <w:rPr>
                <w:rFonts w:ascii="仿宋_GB2312" w:hAnsi="宋体" w:cs="宋体" w:hint="eastAsia"/>
                <w:kern w:val="0"/>
                <w:sz w:val="21"/>
                <w:szCs w:val="21"/>
              </w:rPr>
              <w:t>分）</w:t>
            </w:r>
          </w:p>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所依赖的政策制度能持续执行（</w:t>
            </w:r>
            <w:r>
              <w:rPr>
                <w:rFonts w:ascii="仿宋_GB2312" w:hAnsi="宋体" w:cs="宋体"/>
                <w:kern w:val="0"/>
                <w:sz w:val="21"/>
                <w:szCs w:val="21"/>
              </w:rPr>
              <w:t>4</w:t>
            </w:r>
            <w:r>
              <w:rPr>
                <w:rFonts w:ascii="仿宋_GB2312" w:hAnsi="宋体" w:cs="宋体" w:hint="eastAsia"/>
                <w:kern w:val="0"/>
                <w:sz w:val="21"/>
                <w:szCs w:val="21"/>
              </w:rPr>
              <w:t>分）</w:t>
            </w:r>
          </w:p>
        </w:tc>
      </w:tr>
      <w:tr w:rsidR="006D234C">
        <w:trPr>
          <w:trHeight w:val="879"/>
        </w:trPr>
        <w:tc>
          <w:tcPr>
            <w:tcW w:w="623" w:type="dxa"/>
            <w:vMerge/>
            <w:vAlign w:val="center"/>
          </w:tcPr>
          <w:p w:rsidR="006D234C" w:rsidRDefault="006D234C">
            <w:pPr>
              <w:widowControl/>
              <w:spacing w:line="260" w:lineRule="exact"/>
              <w:jc w:val="left"/>
              <w:rPr>
                <w:rFonts w:ascii="仿宋_GB2312" w:hAnsi="宋体" w:cs="宋体"/>
                <w:kern w:val="0"/>
                <w:sz w:val="21"/>
                <w:szCs w:val="21"/>
              </w:rPr>
            </w:pPr>
          </w:p>
        </w:tc>
        <w:tc>
          <w:tcPr>
            <w:tcW w:w="736" w:type="dxa"/>
            <w:gridSpan w:val="2"/>
            <w:vMerge/>
            <w:vAlign w:val="center"/>
          </w:tcPr>
          <w:p w:rsidR="006D234C" w:rsidRDefault="006D234C">
            <w:pPr>
              <w:widowControl/>
              <w:spacing w:line="260" w:lineRule="exact"/>
              <w:jc w:val="left"/>
              <w:rPr>
                <w:rFonts w:ascii="仿宋_GB2312" w:hAnsi="宋体" w:cs="宋体"/>
                <w:kern w:val="0"/>
                <w:sz w:val="21"/>
                <w:szCs w:val="21"/>
              </w:rPr>
            </w:pPr>
          </w:p>
        </w:tc>
        <w:tc>
          <w:tcPr>
            <w:tcW w:w="991"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服务对象满意度</w:t>
            </w:r>
          </w:p>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项目自投入运营以来，得到了省市区各级领导、国内外、省内外来宾以及广大市民的高度肯定</w:t>
            </w:r>
            <w:r>
              <w:rPr>
                <w:rFonts w:ascii="仿宋_GB2312" w:hAnsi="宋体" w:cs="宋体" w:hint="eastAsia"/>
                <w:kern w:val="0"/>
                <w:sz w:val="21"/>
                <w:szCs w:val="21"/>
              </w:rPr>
              <w:t>。</w:t>
            </w:r>
          </w:p>
        </w:tc>
        <w:tc>
          <w:tcPr>
            <w:tcW w:w="3105" w:type="dxa"/>
            <w:vAlign w:val="center"/>
          </w:tcPr>
          <w:p w:rsidR="006D234C" w:rsidRDefault="00A41096">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按收集到的项目服务对象的满意率计算得分（</w:t>
            </w:r>
            <w:r>
              <w:rPr>
                <w:rFonts w:ascii="仿宋_GB2312" w:hAnsi="宋体" w:cs="宋体"/>
                <w:kern w:val="0"/>
                <w:sz w:val="21"/>
                <w:szCs w:val="21"/>
              </w:rPr>
              <w:t>8</w:t>
            </w:r>
            <w:r>
              <w:rPr>
                <w:rFonts w:ascii="仿宋_GB2312" w:hAnsi="宋体" w:cs="宋体" w:hint="eastAsia"/>
                <w:kern w:val="0"/>
                <w:sz w:val="21"/>
                <w:szCs w:val="21"/>
              </w:rPr>
              <w:t>分）</w:t>
            </w:r>
          </w:p>
        </w:tc>
      </w:tr>
      <w:tr w:rsidR="006D234C">
        <w:trPr>
          <w:trHeight w:val="459"/>
        </w:trPr>
        <w:tc>
          <w:tcPr>
            <w:tcW w:w="2350" w:type="dxa"/>
            <w:gridSpan w:val="4"/>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lastRenderedPageBreak/>
              <w:t>总分</w:t>
            </w:r>
          </w:p>
        </w:tc>
        <w:tc>
          <w:tcPr>
            <w:tcW w:w="640"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100</w:t>
            </w:r>
          </w:p>
        </w:tc>
        <w:tc>
          <w:tcPr>
            <w:tcW w:w="2767"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c>
          <w:tcPr>
            <w:tcW w:w="3105" w:type="dxa"/>
            <w:vAlign w:val="center"/>
          </w:tcPr>
          <w:p w:rsidR="006D234C" w:rsidRDefault="00A41096">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r>
    </w:tbl>
    <w:p w:rsidR="006D234C" w:rsidRDefault="00A41096" w:rsidP="006D234C">
      <w:pPr>
        <w:spacing w:line="560" w:lineRule="exact"/>
        <w:ind w:firstLineChars="200" w:firstLine="596"/>
        <w:rPr>
          <w:rFonts w:ascii="黑体" w:eastAsia="黑体" w:hAnsi="黑体" w:cs="黑体"/>
          <w:b/>
          <w:szCs w:val="32"/>
        </w:rPr>
      </w:pPr>
      <w:r>
        <w:rPr>
          <w:rFonts w:ascii="黑体" w:eastAsia="黑体" w:hAnsi="黑体" w:cs="黑体" w:hint="eastAsia"/>
          <w:b/>
          <w:szCs w:val="32"/>
        </w:rPr>
        <w:t>六、绩效评价结果应用建议</w:t>
      </w:r>
    </w:p>
    <w:p w:rsidR="006D234C" w:rsidRDefault="00A41096" w:rsidP="006D234C">
      <w:pPr>
        <w:spacing w:line="560" w:lineRule="exact"/>
        <w:ind w:firstLineChars="200" w:firstLine="593"/>
        <w:rPr>
          <w:rFonts w:ascii="仿宋_GB2312" w:hAnsi="仿宋_GB2312" w:cs="仿宋_GB2312"/>
          <w:bCs/>
          <w:szCs w:val="32"/>
        </w:rPr>
      </w:pPr>
      <w:r>
        <w:rPr>
          <w:rFonts w:ascii="仿宋_GB2312" w:hAnsi="仿宋_GB2312" w:cs="仿宋_GB2312" w:hint="eastAsia"/>
          <w:bCs/>
          <w:szCs w:val="32"/>
        </w:rPr>
        <w:t>结合</w:t>
      </w:r>
      <w:r>
        <w:rPr>
          <w:rFonts w:ascii="仿宋_GB2312" w:hAnsi="仿宋_GB2312" w:cs="仿宋_GB2312" w:hint="eastAsia"/>
          <w:bCs/>
          <w:szCs w:val="32"/>
        </w:rPr>
        <w:t>201</w:t>
      </w:r>
      <w:r>
        <w:rPr>
          <w:rFonts w:ascii="仿宋_GB2312" w:hAnsi="仿宋_GB2312" w:cs="仿宋_GB2312" w:hint="eastAsia"/>
          <w:bCs/>
          <w:szCs w:val="32"/>
        </w:rPr>
        <w:t>9</w:t>
      </w:r>
      <w:r>
        <w:rPr>
          <w:rFonts w:ascii="仿宋_GB2312" w:hAnsi="仿宋_GB2312" w:cs="仿宋_GB2312" w:hint="eastAsia"/>
          <w:bCs/>
          <w:szCs w:val="32"/>
        </w:rPr>
        <w:t>年度及以前年度绩效评价结果经验，</w:t>
      </w:r>
      <w:r>
        <w:rPr>
          <w:rFonts w:ascii="仿宋_GB2312" w:hAnsi="仿宋_GB2312" w:cs="仿宋_GB2312" w:hint="eastAsia"/>
          <w:bCs/>
          <w:szCs w:val="32"/>
        </w:rPr>
        <w:t>进一步</w:t>
      </w:r>
      <w:r>
        <w:rPr>
          <w:rFonts w:ascii="仿宋_GB2312" w:hAnsi="仿宋_GB2312" w:cs="仿宋_GB2312" w:hint="eastAsia"/>
          <w:bCs/>
          <w:szCs w:val="32"/>
        </w:rPr>
        <w:t>完善项目支出预算编制方法，合理利用财政资金，提高财政资金使用效率和效益。</w:t>
      </w:r>
    </w:p>
    <w:p w:rsidR="006D234C" w:rsidRDefault="00A41096" w:rsidP="006D234C">
      <w:pPr>
        <w:spacing w:line="560" w:lineRule="exact"/>
        <w:ind w:firstLineChars="200" w:firstLine="593"/>
        <w:rPr>
          <w:rFonts w:ascii="黑体" w:eastAsia="黑体" w:hAnsi="黑体" w:cs="黑体"/>
          <w:b/>
          <w:szCs w:val="32"/>
        </w:rPr>
      </w:pPr>
      <w:r>
        <w:rPr>
          <w:rFonts w:ascii="仿宋_GB2312" w:hAnsi="仿宋_GB2312" w:cs="仿宋_GB2312" w:hint="eastAsia"/>
          <w:bCs/>
          <w:szCs w:val="32"/>
        </w:rPr>
        <w:t>对于年度项目支出绩效评价结果，完善公开体系，便于社会公众查询、监督和建议。</w:t>
      </w:r>
    </w:p>
    <w:p w:rsidR="006D234C" w:rsidRDefault="00A41096" w:rsidP="006D234C">
      <w:pPr>
        <w:spacing w:line="560" w:lineRule="exact"/>
        <w:ind w:firstLineChars="200" w:firstLine="596"/>
        <w:rPr>
          <w:rFonts w:ascii="黑体" w:eastAsia="黑体" w:hAnsi="黑体" w:cs="黑体"/>
          <w:b/>
          <w:szCs w:val="32"/>
        </w:rPr>
      </w:pPr>
      <w:r>
        <w:rPr>
          <w:rFonts w:ascii="黑体" w:eastAsia="黑体" w:hAnsi="黑体" w:cs="黑体" w:hint="eastAsia"/>
          <w:b/>
          <w:szCs w:val="32"/>
        </w:rPr>
        <w:t>七、主要经验及做法、存在的问题和建议</w:t>
      </w:r>
    </w:p>
    <w:p w:rsidR="006D234C" w:rsidRDefault="00A41096" w:rsidP="006D234C">
      <w:pPr>
        <w:spacing w:line="560" w:lineRule="exact"/>
        <w:ind w:firstLineChars="200" w:firstLine="593"/>
        <w:rPr>
          <w:rFonts w:ascii="黑体" w:eastAsia="黑体" w:hAnsi="黑体" w:cs="黑体"/>
          <w:b/>
          <w:szCs w:val="32"/>
        </w:rPr>
      </w:pPr>
      <w:r>
        <w:rPr>
          <w:rFonts w:ascii="Times New Roman" w:hAnsi="Times New Roman" w:cs="Times New Roman"/>
          <w:szCs w:val="32"/>
        </w:rPr>
        <w:t>制订详细、可行的项目工作方案，指定项目工作流程及审核程序。明确各单位的责任，相互协调配合，共同促进项目进展。</w:t>
      </w:r>
    </w:p>
    <w:p w:rsidR="006D234C" w:rsidRDefault="00A41096" w:rsidP="006D234C">
      <w:pPr>
        <w:spacing w:line="560" w:lineRule="exact"/>
        <w:ind w:firstLineChars="200" w:firstLine="596"/>
        <w:rPr>
          <w:rFonts w:ascii="黑体" w:eastAsia="黑体" w:hAnsi="黑体" w:cs="黑体"/>
          <w:szCs w:val="20"/>
        </w:rPr>
      </w:pPr>
      <w:r>
        <w:rPr>
          <w:rFonts w:ascii="黑体" w:eastAsia="黑体" w:hAnsi="黑体" w:cs="黑体" w:hint="eastAsia"/>
          <w:b/>
          <w:szCs w:val="32"/>
        </w:rPr>
        <w:t>八、其他需说明的问题</w:t>
      </w:r>
    </w:p>
    <w:p w:rsidR="006D234C" w:rsidRDefault="00A41096" w:rsidP="006D234C">
      <w:pPr>
        <w:spacing w:line="560" w:lineRule="exact"/>
        <w:ind w:firstLineChars="200" w:firstLine="593"/>
        <w:rPr>
          <w:rFonts w:ascii="方正小标宋简体" w:eastAsia="方正小标宋简体" w:hAnsi="方正小标宋简体" w:cs="方正小标宋简体"/>
          <w:sz w:val="44"/>
          <w:szCs w:val="44"/>
        </w:rPr>
      </w:pPr>
      <w:r>
        <w:rPr>
          <w:rFonts w:ascii="仿宋_GB2312" w:hAnsi="仿宋_GB2312" w:cs="仿宋_GB2312" w:hint="eastAsia"/>
          <w:bCs/>
          <w:szCs w:val="32"/>
        </w:rPr>
        <w:t>无。</w:t>
      </w:r>
    </w:p>
    <w:p w:rsidR="006D234C" w:rsidRDefault="006264FB" w:rsidP="006264FB">
      <w:pPr>
        <w:topLinePunct/>
        <w:rPr>
          <w:rFonts w:ascii="仿宋_GB2312"/>
          <w:szCs w:val="32"/>
        </w:rPr>
      </w:pPr>
      <w:r>
        <w:rPr>
          <w:rFonts w:ascii="Times New Roman" w:hAnsi="Times New Roman" w:cs="Times New Roman" w:hint="eastAsia"/>
          <w:noProof/>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40.75pt;margin-top:27.45pt;width:127.45pt;height:127.45pt;z-index:251658240;mso-position-horizontal-relative:text;mso-position-vertical-relative:text" stroked="f">
            <v:imagedata r:id="rId8" o:title=""/>
          </v:shape>
          <w:control r:id="rId9" w:name="CWordOLECtrl1" w:shapeid="_x0000_s2050"/>
        </w:pict>
      </w:r>
    </w:p>
    <w:p w:rsidR="006D234C" w:rsidRDefault="006D234C"/>
    <w:p w:rsidR="006D234C" w:rsidRDefault="00A41096" w:rsidP="006D234C">
      <w:pPr>
        <w:ind w:firstLineChars="200" w:firstLine="593"/>
        <w:jc w:val="right"/>
      </w:pPr>
      <w:r>
        <w:rPr>
          <w:rFonts w:hint="eastAsia"/>
        </w:rPr>
        <w:t>昆明呈贡信息产业园区管理委员会</w:t>
      </w:r>
    </w:p>
    <w:p w:rsidR="006D234C" w:rsidRDefault="006264FB" w:rsidP="006D234C">
      <w:pPr>
        <w:ind w:firstLineChars="200" w:firstLine="593"/>
        <w:jc w:val="center"/>
        <w:rPr>
          <w:rFonts w:ascii="Times New Roman" w:hAnsi="Times New Roman" w:cs="Times New Roman"/>
        </w:rPr>
      </w:pPr>
      <w:r>
        <w:rPr>
          <w:rFonts w:ascii="Times New Roman" w:hAnsi="Times New Roman" w:cs="Times New Roman" w:hint="eastAsia"/>
        </w:rPr>
        <w:t xml:space="preserve">                   </w:t>
      </w:r>
      <w:r w:rsidR="00A41096">
        <w:rPr>
          <w:rFonts w:ascii="Times New Roman" w:hAnsi="Times New Roman" w:cs="Times New Roman"/>
        </w:rPr>
        <w:t xml:space="preserve"> 2020</w:t>
      </w:r>
      <w:r w:rsidR="00A41096">
        <w:rPr>
          <w:rFonts w:ascii="Times New Roman" w:hAnsi="Times New Roman" w:cs="Times New Roman"/>
        </w:rPr>
        <w:t>年</w:t>
      </w:r>
      <w:r w:rsidR="00A41096">
        <w:rPr>
          <w:rFonts w:ascii="Times New Roman" w:hAnsi="Times New Roman" w:cs="Times New Roman"/>
        </w:rPr>
        <w:t>3</w:t>
      </w:r>
      <w:r w:rsidR="00A41096">
        <w:rPr>
          <w:rFonts w:ascii="Times New Roman" w:hAnsi="Times New Roman" w:cs="Times New Roman"/>
        </w:rPr>
        <w:t>月</w:t>
      </w:r>
      <w:r w:rsidR="00A41096">
        <w:rPr>
          <w:rFonts w:ascii="Times New Roman" w:hAnsi="Times New Roman" w:cs="Times New Roman"/>
        </w:rPr>
        <w:t>31</w:t>
      </w:r>
      <w:r w:rsidR="00A41096">
        <w:rPr>
          <w:rFonts w:ascii="Times New Roman" w:hAnsi="Times New Roman" w:cs="Times New Roman"/>
        </w:rPr>
        <w:t>日</w:t>
      </w:r>
    </w:p>
    <w:p w:rsidR="006D234C" w:rsidRDefault="006D234C"/>
    <w:sectPr w:rsidR="006D234C" w:rsidSect="006D234C">
      <w:footerReference w:type="default" r:id="rId10"/>
      <w:pgSz w:w="11906" w:h="16838"/>
      <w:pgMar w:top="1723" w:right="1800" w:bottom="1723" w:left="1800" w:header="851" w:footer="992" w:gutter="0"/>
      <w:pgNumType w:fmt="numberInDash"/>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34C" w:rsidRDefault="006D234C" w:rsidP="006D234C">
      <w:r>
        <w:separator/>
      </w:r>
    </w:p>
  </w:endnote>
  <w:endnote w:type="continuationSeparator" w:id="1">
    <w:p w:rsidR="006D234C" w:rsidRDefault="006D234C" w:rsidP="006D2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34C" w:rsidRDefault="006D234C">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D234C" w:rsidRDefault="006D234C">
                <w:pPr>
                  <w:pStyle w:val="a3"/>
                </w:pPr>
                <w:r>
                  <w:rPr>
                    <w:rFonts w:ascii="宋体" w:eastAsia="宋体" w:hAnsi="宋体" w:cs="宋体" w:hint="eastAsia"/>
                    <w:sz w:val="32"/>
                    <w:szCs w:val="32"/>
                  </w:rPr>
                  <w:fldChar w:fldCharType="begin"/>
                </w:r>
                <w:r w:rsidR="00A41096">
                  <w:rPr>
                    <w:rFonts w:ascii="宋体" w:eastAsia="宋体" w:hAnsi="宋体" w:cs="宋体" w:hint="eastAsia"/>
                    <w:sz w:val="32"/>
                    <w:szCs w:val="32"/>
                  </w:rPr>
                  <w:instrText xml:space="preserve"> PAGE  \* MERGEFORMAT </w:instrText>
                </w:r>
                <w:r>
                  <w:rPr>
                    <w:rFonts w:ascii="宋体" w:eastAsia="宋体" w:hAnsi="宋体" w:cs="宋体" w:hint="eastAsia"/>
                    <w:sz w:val="32"/>
                    <w:szCs w:val="32"/>
                  </w:rPr>
                  <w:fldChar w:fldCharType="separate"/>
                </w:r>
                <w:r w:rsidR="00A41096">
                  <w:rPr>
                    <w:rFonts w:ascii="宋体" w:eastAsia="宋体" w:hAnsi="宋体" w:cs="宋体"/>
                    <w:noProof/>
                    <w:sz w:val="32"/>
                    <w:szCs w:val="32"/>
                  </w:rPr>
                  <w:t>- 6 -</w:t>
                </w:r>
                <w:r>
                  <w:rPr>
                    <w:rFonts w:ascii="宋体" w:eastAsia="宋体" w:hAnsi="宋体" w:cs="宋体"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34C" w:rsidRDefault="006D234C" w:rsidP="006D234C">
      <w:r>
        <w:separator/>
      </w:r>
    </w:p>
  </w:footnote>
  <w:footnote w:type="continuationSeparator" w:id="1">
    <w:p w:rsidR="006D234C" w:rsidRDefault="006D234C" w:rsidP="006D2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8634A"/>
    <w:multiLevelType w:val="singleLevel"/>
    <w:tmpl w:val="8BF8634A"/>
    <w:lvl w:ilvl="0">
      <w:start w:val="2"/>
      <w:numFmt w:val="chineseCounting"/>
      <w:suff w:val="nothing"/>
      <w:lvlText w:val="（%1）"/>
      <w:lvlJc w:val="left"/>
      <w:rPr>
        <w:rFonts w:hint="eastAsia"/>
      </w:rPr>
    </w:lvl>
  </w:abstractNum>
  <w:abstractNum w:abstractNumId="1">
    <w:nsid w:val="9F28CCFF"/>
    <w:multiLevelType w:val="singleLevel"/>
    <w:tmpl w:val="9F28CCFF"/>
    <w:lvl w:ilvl="0">
      <w:start w:val="5"/>
      <w:numFmt w:val="chineseCounting"/>
      <w:suff w:val="nothing"/>
      <w:lvlText w:val="%1、"/>
      <w:lvlJc w:val="left"/>
      <w:rPr>
        <w:rFonts w:hint="eastAsia"/>
      </w:rPr>
    </w:lvl>
  </w:abstractNum>
  <w:abstractNum w:abstractNumId="2">
    <w:nsid w:val="229CE27D"/>
    <w:multiLevelType w:val="multilevel"/>
    <w:tmpl w:val="229CE27D"/>
    <w:lvl w:ilvl="0">
      <w:start w:val="1"/>
      <w:numFmt w:val="chineseCounting"/>
      <w:pStyle w:val="1"/>
      <w:suff w:val="nothing"/>
      <w:lvlText w:val="%1、"/>
      <w:lvlJc w:val="left"/>
      <w:rPr>
        <w:rFonts w:cs="Times New Roman" w:hint="eastAsia"/>
      </w:rPr>
    </w:lvl>
    <w:lvl w:ilvl="1">
      <w:start w:val="1"/>
      <w:numFmt w:val="chineseCounting"/>
      <w:suff w:val="nothing"/>
      <w:lvlText w:val="（%2）"/>
      <w:lvlJc w:val="left"/>
      <w:rPr>
        <w:rFonts w:cs="Times New Roman" w:hint="eastAsia"/>
      </w:rPr>
    </w:lvl>
    <w:lvl w:ilvl="2">
      <w:start w:val="1"/>
      <w:numFmt w:val="decimal"/>
      <w:suff w:val="nothing"/>
      <w:lvlText w:val="%3."/>
      <w:lvlJc w:val="left"/>
      <w:pPr>
        <w:tabs>
          <w:tab w:val="left" w:pos="2745"/>
        </w:tabs>
        <w:ind w:firstLine="400"/>
      </w:pPr>
      <w:rPr>
        <w:rFonts w:ascii="华文楷体" w:eastAsia="仿宋_GB2312" w:hAnsi="华文楷体" w:cs="Times New Roman"/>
      </w:rPr>
    </w:lvl>
    <w:lvl w:ilvl="3">
      <w:start w:val="1"/>
      <w:numFmt w:val="decimal"/>
      <w:suff w:val="nothing"/>
      <w:lvlText w:val="（%4）"/>
      <w:lvlJc w:val="left"/>
      <w:pPr>
        <w:ind w:firstLine="402"/>
      </w:pPr>
      <w:rPr>
        <w:rFonts w:cs="Times New Roman" w:hint="eastAsia"/>
      </w:rPr>
    </w:lvl>
    <w:lvl w:ilvl="4">
      <w:start w:val="1"/>
      <w:numFmt w:val="decimalEnclosedCircleChinese"/>
      <w:suff w:val="nothing"/>
      <w:lvlText w:val="%5"/>
      <w:lvlJc w:val="left"/>
      <w:pPr>
        <w:ind w:firstLine="402"/>
      </w:pPr>
      <w:rPr>
        <w:rFonts w:cs="Times New Roman" w:hint="eastAsia"/>
      </w:rPr>
    </w:lvl>
    <w:lvl w:ilvl="5">
      <w:start w:val="1"/>
      <w:numFmt w:val="decimal"/>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Letter"/>
      <w:suff w:val="nothing"/>
      <w:lvlText w:val="%8）"/>
      <w:lvlJc w:val="left"/>
      <w:pPr>
        <w:ind w:firstLine="402"/>
      </w:pPr>
      <w:rPr>
        <w:rFonts w:cs="Times New Roman" w:hint="eastAsia"/>
      </w:rPr>
    </w:lvl>
    <w:lvl w:ilvl="8">
      <w:start w:val="1"/>
      <w:numFmt w:val="lowerRoman"/>
      <w:suff w:val="nothing"/>
      <w:lvlText w:val="%9 "/>
      <w:lvlJc w:val="left"/>
      <w:pPr>
        <w:ind w:firstLine="402"/>
      </w:pPr>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50000" w:hash="0IZJ067PbA6HOBqQFaSR/lXxPBs=" w:salt="Q2IyFbWJQNFLzCTgjV0Kfg=="/>
  <w:defaultTabStop w:val="420"/>
  <w:drawingGridHorizontalSpacing w:val="148"/>
  <w:drawingGridVerticalSpacing w:val="304"/>
  <w:displayHorizontalDrawingGridEvery w:val="2"/>
  <w:displayVerticalDrawingGridEvery w:val="2"/>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34C"/>
    <w:rsid w:val="006264FB"/>
    <w:rsid w:val="006D234C"/>
    <w:rsid w:val="00A41096"/>
    <w:rsid w:val="05AE36CA"/>
    <w:rsid w:val="06525C14"/>
    <w:rsid w:val="08563735"/>
    <w:rsid w:val="0C8A2928"/>
    <w:rsid w:val="0CD73F1A"/>
    <w:rsid w:val="2317116A"/>
    <w:rsid w:val="2C253869"/>
    <w:rsid w:val="378A5996"/>
    <w:rsid w:val="3813116B"/>
    <w:rsid w:val="3EEE4313"/>
    <w:rsid w:val="51C05EE5"/>
    <w:rsid w:val="59480839"/>
    <w:rsid w:val="5A3C6978"/>
    <w:rsid w:val="5D976469"/>
    <w:rsid w:val="5F824CE0"/>
    <w:rsid w:val="628957C3"/>
    <w:rsid w:val="67600811"/>
    <w:rsid w:val="6E710353"/>
    <w:rsid w:val="71A05916"/>
    <w:rsid w:val="7B6F2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D234C"/>
    <w:pPr>
      <w:widowControl w:val="0"/>
      <w:jc w:val="both"/>
    </w:pPr>
    <w:rPr>
      <w:rFonts w:asciiTheme="minorHAnsi" w:eastAsia="仿宋_GB2312" w:hAnsiTheme="minorHAnsi" w:cstheme="minorBidi"/>
      <w:kern w:val="2"/>
      <w:sz w:val="32"/>
      <w:szCs w:val="22"/>
    </w:rPr>
  </w:style>
  <w:style w:type="paragraph" w:styleId="1">
    <w:name w:val="heading 1"/>
    <w:next w:val="a"/>
    <w:uiPriority w:val="99"/>
    <w:qFormat/>
    <w:rsid w:val="006D234C"/>
    <w:pPr>
      <w:widowControl w:val="0"/>
      <w:numPr>
        <w:numId w:val="1"/>
      </w:numPr>
      <w:tabs>
        <w:tab w:val="left" w:pos="310"/>
      </w:tabs>
      <w:jc w:val="both"/>
      <w:outlineLvl w:val="0"/>
    </w:pPr>
    <w:rPr>
      <w:rFonts w:ascii="华文楷体" w:eastAsia="黑体" w:hAnsi="华文楷体"/>
      <w:sz w:val="3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D234C"/>
    <w:pPr>
      <w:tabs>
        <w:tab w:val="center" w:pos="4153"/>
        <w:tab w:val="right" w:pos="8306"/>
      </w:tabs>
      <w:snapToGrid w:val="0"/>
      <w:jc w:val="left"/>
    </w:pPr>
    <w:rPr>
      <w:sz w:val="18"/>
    </w:rPr>
  </w:style>
  <w:style w:type="paragraph" w:styleId="a4">
    <w:name w:val="header"/>
    <w:basedOn w:val="a"/>
    <w:qFormat/>
    <w:rsid w:val="006D234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502</Words>
  <Characters>2862</Characters>
  <Application>Microsoft Office Word</Application>
  <DocSecurity>0</DocSecurity>
  <Lines>23</Lines>
  <Paragraphs>6</Paragraphs>
  <ScaleCrop>false</ScaleCrop>
  <Company>微软中国</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NTKO</cp:lastModifiedBy>
  <cp:revision>3</cp:revision>
  <cp:lastPrinted>2020-03-17T03:50:00Z</cp:lastPrinted>
  <dcterms:created xsi:type="dcterms:W3CDTF">2014-10-29T12:08:00Z</dcterms:created>
  <dcterms:modified xsi:type="dcterms:W3CDTF">2020-04-15T07:23:00Z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docranid">
    <vt:lpwstr>92DB623A177B4397B1BC2F8DC9F55B4C</vt:lpwstr>
  </property>
</Properties>
</file>