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DE" w:rsidRDefault="00447DDE">
      <w:pPr>
        <w:spacing w:line="640" w:lineRule="exact"/>
        <w:rPr>
          <w:rFonts w:ascii="黑体" w:eastAsia="黑体"/>
          <w:szCs w:val="32"/>
        </w:rPr>
      </w:pPr>
    </w:p>
    <w:p w:rsidR="00447DDE" w:rsidRDefault="0064367E">
      <w:pPr>
        <w:spacing w:line="640" w:lineRule="exact"/>
        <w:jc w:val="center"/>
        <w:rPr>
          <w:rFonts w:ascii="方正小标宋_GBK" w:eastAsia="方正小标宋_GBK"/>
          <w:sz w:val="36"/>
          <w:szCs w:val="36"/>
        </w:rPr>
      </w:pPr>
      <w:r>
        <w:rPr>
          <w:rFonts w:ascii="方正小标宋简体" w:eastAsia="方正小标宋简体" w:hAnsi="方正小标宋简体" w:cs="方正小标宋简体" w:hint="eastAsia"/>
          <w:sz w:val="44"/>
          <w:szCs w:val="44"/>
        </w:rPr>
        <w:t>中国数码港昆明大数据产业园项目扶持资金支出绩效评价报告</w:t>
      </w:r>
    </w:p>
    <w:p w:rsidR="00447DDE" w:rsidRDefault="00447DDE" w:rsidP="00447DDE">
      <w:pPr>
        <w:spacing w:line="600" w:lineRule="exact"/>
        <w:ind w:firstLineChars="200" w:firstLine="596"/>
        <w:rPr>
          <w:rFonts w:ascii="仿宋_GB2312"/>
          <w:b/>
          <w:szCs w:val="32"/>
        </w:rPr>
      </w:pPr>
    </w:p>
    <w:p w:rsidR="00447DDE" w:rsidRDefault="0064367E" w:rsidP="00447DDE">
      <w:pPr>
        <w:numPr>
          <w:ilvl w:val="0"/>
          <w:numId w:val="2"/>
        </w:numPr>
        <w:topLinePunct/>
        <w:ind w:firstLineChars="200" w:firstLine="593"/>
        <w:rPr>
          <w:rFonts w:ascii="黑体" w:eastAsia="黑体"/>
          <w:szCs w:val="32"/>
        </w:rPr>
      </w:pPr>
      <w:r>
        <w:rPr>
          <w:rFonts w:ascii="黑体" w:eastAsia="黑体" w:hint="eastAsia"/>
          <w:szCs w:val="32"/>
        </w:rPr>
        <w:t>项目基本情况</w:t>
      </w:r>
    </w:p>
    <w:p w:rsidR="00447DDE" w:rsidRDefault="0064367E" w:rsidP="00447DDE">
      <w:pPr>
        <w:pStyle w:val="2"/>
        <w:spacing w:line="560" w:lineRule="exact"/>
        <w:ind w:firstLine="593"/>
        <w:rPr>
          <w:rFonts w:ascii="黑体" w:eastAsia="黑体"/>
        </w:rPr>
      </w:pPr>
      <w:bookmarkStart w:id="0" w:name="_Toc30514885"/>
      <w:r>
        <w:rPr>
          <w:rFonts w:ascii="楷体_GB2312" w:eastAsia="楷体_GB2312" w:hAnsi="楷体_GB2312" w:cs="楷体_GB2312" w:hint="eastAsia"/>
        </w:rPr>
        <w:t>（一）项目基本情况</w:t>
      </w:r>
      <w:bookmarkEnd w:id="0"/>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为加快昆明市信息产业及大数据产业的的发展和实现中国整江码港有限公司自身发展，中国数码港科技有限公司计划在昆明呈贡信息产业园内建中国数码港昆明大数据产业园项目，充分利用中国数码港科技有限公司在信息产业互联网、大数据产业方面的优势，为打造面向南亚、东南亚辐射中心及云南省信息产业发展高地和核心区增添新动能。中国数码港昆明大数据产业园项目拟建设数据运营中心、数据安全中心、数据综合处理中心、数据软件外包中心、金融数据交易中心、创新孵化中心及数据机房等。</w:t>
      </w:r>
    </w:p>
    <w:p w:rsidR="00447DDE" w:rsidRDefault="0064367E">
      <w:pPr>
        <w:topLinePunct/>
        <w:rPr>
          <w:rFonts w:ascii="仿宋_GB2312" w:hAnsi="仿宋_GB2312" w:cs="仿宋_GB2312"/>
          <w:szCs w:val="32"/>
        </w:rPr>
      </w:pPr>
      <w:r>
        <w:rPr>
          <w:rFonts w:ascii="仿宋_GB2312" w:hAnsi="仿宋_GB2312" w:cs="仿宋_GB2312" w:hint="eastAsia"/>
          <w:szCs w:val="32"/>
        </w:rPr>
        <w:t>项目选址昆明呈贡信息产业园区万溪核心区一期二号地块，项目规划用地</w:t>
      </w:r>
      <w:r>
        <w:rPr>
          <w:rFonts w:ascii="仿宋_GB2312" w:hAnsi="仿宋_GB2312" w:cs="仿宋_GB2312" w:hint="eastAsia"/>
          <w:szCs w:val="32"/>
        </w:rPr>
        <w:t>约</w:t>
      </w:r>
      <w:r>
        <w:rPr>
          <w:rFonts w:ascii="仿宋_GB2312" w:hAnsi="仿宋_GB2312" w:cs="仿宋_GB2312" w:hint="eastAsia"/>
          <w:szCs w:val="32"/>
        </w:rPr>
        <w:t>222.25</w:t>
      </w:r>
      <w:r>
        <w:rPr>
          <w:rFonts w:ascii="仿宋_GB2312" w:hAnsi="仿宋_GB2312" w:cs="仿宋_GB2312" w:hint="eastAsia"/>
          <w:szCs w:val="32"/>
        </w:rPr>
        <w:t>亩，土地性质为一类工业用地。根据《昆明市人民政府</w:t>
      </w:r>
      <w:r>
        <w:rPr>
          <w:rFonts w:ascii="仿宋_GB2312" w:hAnsi="仿宋_GB2312" w:cs="仿宋_GB2312" w:hint="eastAsia"/>
          <w:szCs w:val="32"/>
        </w:rPr>
        <w:t xml:space="preserve"> </w:t>
      </w:r>
      <w:r>
        <w:rPr>
          <w:rFonts w:ascii="仿宋_GB2312" w:hAnsi="仿宋_GB2312" w:cs="仿宋_GB2312" w:hint="eastAsia"/>
          <w:szCs w:val="32"/>
        </w:rPr>
        <w:t>中国数码港科技有限公司合作协议》和《昆明呈贡信息产业园区管理委员会</w:t>
      </w:r>
      <w:r>
        <w:rPr>
          <w:rFonts w:ascii="仿宋_GB2312" w:hAnsi="仿宋_GB2312" w:cs="仿宋_GB2312" w:hint="eastAsia"/>
          <w:szCs w:val="32"/>
        </w:rPr>
        <w:t xml:space="preserve"> </w:t>
      </w:r>
      <w:r>
        <w:rPr>
          <w:rFonts w:ascii="仿宋_GB2312" w:hAnsi="仿宋_GB2312" w:cs="仿宋_GB2312" w:hint="eastAsia"/>
          <w:szCs w:val="32"/>
        </w:rPr>
        <w:t>中国数码港科技有限公司合作协议》的相关约定，昆明呈贡信息产业园区管理委员会为中国数码港科技有限公司提供</w:t>
      </w:r>
      <w:r>
        <w:rPr>
          <w:rFonts w:ascii="仿宋_GB2312" w:hAnsi="仿宋_GB2312" w:cs="仿宋_GB2312" w:hint="eastAsia"/>
          <w:szCs w:val="32"/>
        </w:rPr>
        <w:t>3778.25</w:t>
      </w:r>
      <w:r>
        <w:rPr>
          <w:rFonts w:ascii="仿宋_GB2312" w:hAnsi="仿宋_GB2312" w:cs="仿宋_GB2312" w:hint="eastAsia"/>
          <w:szCs w:val="32"/>
        </w:rPr>
        <w:t>万元人民币项目扶持资金，扶持资金专款专用于项目建设。</w:t>
      </w:r>
    </w:p>
    <w:p w:rsidR="00447DDE" w:rsidRDefault="0064367E" w:rsidP="00447DDE">
      <w:pPr>
        <w:pStyle w:val="2"/>
        <w:numPr>
          <w:ilvl w:val="0"/>
          <w:numId w:val="3"/>
        </w:numPr>
        <w:spacing w:line="560" w:lineRule="exact"/>
        <w:ind w:firstLine="593"/>
        <w:jc w:val="left"/>
        <w:rPr>
          <w:rFonts w:ascii="楷体" w:hAnsi="楷体" w:cs="楷体"/>
          <w:color w:val="000000"/>
        </w:rPr>
      </w:pPr>
      <w:r>
        <w:rPr>
          <w:rFonts w:ascii="仿宋_GB2312" w:hint="eastAsia"/>
        </w:rPr>
        <w:lastRenderedPageBreak/>
        <w:t>项目绩效目标。</w:t>
      </w:r>
    </w:p>
    <w:p w:rsidR="00447DDE" w:rsidRDefault="0064367E" w:rsidP="00447DDE">
      <w:pPr>
        <w:topLinePunct/>
        <w:ind w:leftChars="200" w:left="593"/>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总目标</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w:t>
      </w:r>
      <w:r>
        <w:rPr>
          <w:rFonts w:ascii="仿宋_GB2312" w:hAnsi="仿宋_GB2312" w:cs="仿宋_GB2312"/>
          <w:szCs w:val="32"/>
        </w:rPr>
        <w:t>在昆明呈贡信息产业园区成立具备独立法人资格且独立核算的全资子公司，负责项目的建设和运营</w:t>
      </w:r>
      <w:r>
        <w:rPr>
          <w:rFonts w:ascii="仿宋_GB2312" w:hAnsi="仿宋_GB2312" w:cs="仿宋_GB2312" w:hint="eastAsia"/>
          <w:szCs w:val="32"/>
        </w:rPr>
        <w:t>，</w:t>
      </w:r>
      <w:r>
        <w:rPr>
          <w:rFonts w:ascii="仿宋_GB2312" w:hAnsi="仿宋_GB2312" w:cs="仿宋_GB2312"/>
          <w:szCs w:val="32"/>
        </w:rPr>
        <w:t>确保项目建设和建成运营所有税费均实现至昆明呈贡信息产业园区。</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w:t>
      </w:r>
      <w:r>
        <w:rPr>
          <w:rFonts w:ascii="仿宋_GB2312" w:hAnsi="仿宋_GB2312" w:cs="仿宋_GB2312"/>
          <w:szCs w:val="32"/>
        </w:rPr>
        <w:t>五年内投资总额达到</w:t>
      </w:r>
      <w:r>
        <w:rPr>
          <w:rFonts w:ascii="仿宋_GB2312" w:hAnsi="仿宋_GB2312" w:cs="仿宋_GB2312"/>
          <w:szCs w:val="32"/>
        </w:rPr>
        <w:t>2</w:t>
      </w:r>
      <w:r>
        <w:rPr>
          <w:rFonts w:ascii="仿宋_GB2312" w:hAnsi="仿宋_GB2312" w:cs="仿宋_GB2312"/>
          <w:szCs w:val="32"/>
        </w:rPr>
        <w:t>2</w:t>
      </w:r>
      <w:r>
        <w:rPr>
          <w:rFonts w:ascii="仿宋_GB2312" w:hAnsi="仿宋_GB2312" w:cs="仿宋_GB2312"/>
          <w:szCs w:val="32"/>
        </w:rPr>
        <w:t>亿元人民币，如期完成项目建设，实现运营。</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w:t>
      </w:r>
      <w:r>
        <w:rPr>
          <w:rFonts w:ascii="仿宋_GB2312" w:hAnsi="仿宋_GB2312" w:cs="仿宋_GB2312"/>
          <w:szCs w:val="32"/>
        </w:rPr>
        <w:t>第一期项目建成投入运营后的第一年，纳税形成地方一般公共预算收入</w:t>
      </w:r>
      <w:r>
        <w:rPr>
          <w:rFonts w:ascii="仿宋_GB2312" w:hAnsi="仿宋_GB2312" w:cs="仿宋_GB2312"/>
          <w:szCs w:val="32"/>
        </w:rPr>
        <w:t>1000</w:t>
      </w:r>
      <w:r>
        <w:rPr>
          <w:rFonts w:ascii="仿宋_GB2312" w:hAnsi="仿宋_GB2312" w:cs="仿宋_GB2312"/>
          <w:szCs w:val="32"/>
        </w:rPr>
        <w:t>万元人民币</w:t>
      </w:r>
      <w:r>
        <w:rPr>
          <w:rFonts w:ascii="仿宋_GB2312" w:hAnsi="仿宋_GB2312" w:cs="仿宋_GB2312"/>
          <w:szCs w:val="32"/>
        </w:rPr>
        <w:t>;</w:t>
      </w:r>
      <w:r>
        <w:rPr>
          <w:rFonts w:ascii="仿宋_GB2312" w:hAnsi="仿宋_GB2312" w:cs="仿宋_GB2312"/>
          <w:szCs w:val="32"/>
        </w:rPr>
        <w:t>项目总体建成投入运营后，每年稳定纳税形成地方一般公共预算收入</w:t>
      </w:r>
      <w:r>
        <w:rPr>
          <w:rFonts w:ascii="仿宋_GB2312" w:hAnsi="仿宋_GB2312" w:cs="仿宋_GB2312"/>
          <w:szCs w:val="32"/>
        </w:rPr>
        <w:t>3000</w:t>
      </w:r>
      <w:r>
        <w:rPr>
          <w:rFonts w:ascii="仿宋_GB2312" w:hAnsi="仿宋_GB2312" w:cs="仿宋_GB2312"/>
          <w:szCs w:val="32"/>
        </w:rPr>
        <w:t>万元人民币</w:t>
      </w:r>
      <w:r>
        <w:rPr>
          <w:rFonts w:ascii="仿宋_GB2312" w:hAnsi="仿宋_GB2312" w:cs="仿宋_GB2312" w:hint="eastAsia"/>
          <w:szCs w:val="32"/>
        </w:rPr>
        <w:t>.</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年度目标。</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szCs w:val="32"/>
        </w:rPr>
        <w:t>在昆明呈贡信息产业园区成立具备独立法人资格且独立核算的全资子公司</w:t>
      </w:r>
      <w:r>
        <w:rPr>
          <w:rFonts w:ascii="仿宋_GB2312" w:hAnsi="仿宋_GB2312" w:cs="仿宋_GB2312" w:hint="eastAsia"/>
          <w:szCs w:val="32"/>
        </w:rPr>
        <w:t>，并全额缴纳土地出让金。</w:t>
      </w:r>
    </w:p>
    <w:p w:rsidR="00447DDE" w:rsidRDefault="0064367E" w:rsidP="00447DDE">
      <w:pPr>
        <w:ind w:leftChars="200" w:left="593"/>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447DDE" w:rsidRDefault="0064367E" w:rsidP="00447DDE">
      <w:pPr>
        <w:spacing w:line="560" w:lineRule="exact"/>
        <w:ind w:firstLineChars="200" w:firstLine="593"/>
        <w:rPr>
          <w:rFonts w:ascii="仿宋_GB2312"/>
          <w:b/>
          <w:szCs w:val="32"/>
        </w:rPr>
      </w:pPr>
      <w:r>
        <w:rPr>
          <w:rFonts w:ascii="仿宋_GB2312" w:hAnsi="仿宋_GB2312" w:cs="仿宋_GB2312" w:hint="eastAsia"/>
          <w:szCs w:val="32"/>
        </w:rPr>
        <w:t>该项目实施</w:t>
      </w:r>
      <w:r>
        <w:rPr>
          <w:rFonts w:ascii="仿宋_GB2312" w:hAnsi="仿宋_GB2312" w:cs="仿宋_GB2312" w:hint="eastAsia"/>
          <w:szCs w:val="32"/>
        </w:rPr>
        <w:t>部门为园区管委会招商部</w:t>
      </w:r>
      <w:r>
        <w:rPr>
          <w:rFonts w:ascii="仿宋_GB2312" w:hAnsi="仿宋_GB2312" w:cs="仿宋_GB2312" w:hint="eastAsia"/>
          <w:szCs w:val="32"/>
        </w:rPr>
        <w:t>，已按要求按时充分向我</w:t>
      </w:r>
      <w:r>
        <w:rPr>
          <w:rFonts w:ascii="仿宋_GB2312" w:hAnsi="仿宋_GB2312" w:cs="仿宋_GB2312" w:hint="eastAsia"/>
          <w:szCs w:val="32"/>
        </w:rPr>
        <w:t>部门</w:t>
      </w:r>
      <w:r>
        <w:rPr>
          <w:rFonts w:ascii="仿宋_GB2312" w:hAnsi="仿宋_GB2312" w:cs="仿宋_GB2312" w:hint="eastAsia"/>
          <w:szCs w:val="32"/>
        </w:rPr>
        <w:t>报送绩效自评报告和绩效自评指标评分表。</w:t>
      </w:r>
    </w:p>
    <w:p w:rsidR="00447DDE" w:rsidRDefault="0064367E" w:rsidP="00447DDE">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447DDE" w:rsidRDefault="0064367E" w:rsidP="00447DDE">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447DDE" w:rsidRDefault="0064367E" w:rsidP="00447DDE">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447DDE" w:rsidRDefault="0064367E" w:rsidP="00447DDE">
      <w:pPr>
        <w:numPr>
          <w:ilvl w:val="0"/>
          <w:numId w:val="4"/>
        </w:numPr>
        <w:spacing w:line="560" w:lineRule="exact"/>
        <w:ind w:firstLineChars="200" w:firstLine="593"/>
        <w:rPr>
          <w:rFonts w:ascii="楷体" w:eastAsia="楷体" w:hAnsi="楷体" w:cs="楷体"/>
          <w:szCs w:val="32"/>
        </w:rPr>
      </w:pPr>
      <w:r>
        <w:rPr>
          <w:rFonts w:ascii="楷体" w:eastAsia="楷体" w:hAnsi="楷体" w:cs="楷体" w:hint="eastAsia"/>
          <w:szCs w:val="32"/>
        </w:rPr>
        <w:lastRenderedPageBreak/>
        <w:t>绩效评价原则、评价指标体系、评价方法</w:t>
      </w:r>
    </w:p>
    <w:p w:rsidR="00447DDE" w:rsidRDefault="0064367E" w:rsidP="00447DDE">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447DDE" w:rsidRDefault="0064367E" w:rsidP="00447DDE">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447DDE" w:rsidRDefault="0064367E" w:rsidP="00447DDE">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447DDE" w:rsidRDefault="0064367E" w:rsidP="00447DDE">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447DDE" w:rsidRDefault="0064367E" w:rsidP="00447DDE">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447DDE" w:rsidRDefault="0064367E" w:rsidP="00447DDE">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447DDE" w:rsidRDefault="0064367E" w:rsidP="00447DDE">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447DDE" w:rsidRDefault="0064367E" w:rsidP="00447DDE">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447DDE" w:rsidRDefault="0064367E" w:rsidP="00447DDE">
      <w:pPr>
        <w:ind w:firstLineChars="200" w:firstLine="596"/>
        <w:rPr>
          <w:rFonts w:ascii="仿宋_GB2312"/>
          <w:b/>
          <w:szCs w:val="32"/>
        </w:rPr>
      </w:pPr>
      <w:r>
        <w:rPr>
          <w:rFonts w:ascii="仿宋_GB2312" w:hint="eastAsia"/>
          <w:b/>
          <w:szCs w:val="32"/>
        </w:rPr>
        <w:t>四、绩效评价指标分析情况</w:t>
      </w:r>
    </w:p>
    <w:p w:rsidR="00447DDE" w:rsidRDefault="0064367E" w:rsidP="00447DDE">
      <w:pPr>
        <w:topLinePunct/>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w:t>
      </w:r>
      <w:r>
        <w:rPr>
          <w:rFonts w:ascii="楷体" w:eastAsia="楷体" w:hAnsi="楷体" w:cs="楷体" w:hint="eastAsia"/>
          <w:szCs w:val="32"/>
        </w:rPr>
        <w:t>）</w:t>
      </w:r>
      <w:r>
        <w:rPr>
          <w:rFonts w:ascii="楷体" w:eastAsia="楷体" w:hAnsi="楷体" w:cs="楷体" w:hint="eastAsia"/>
          <w:szCs w:val="32"/>
        </w:rPr>
        <w:t>项</w:t>
      </w:r>
      <w:r>
        <w:rPr>
          <w:rFonts w:ascii="楷体" w:eastAsia="楷体" w:hAnsi="楷体" w:cs="楷体" w:hint="eastAsia"/>
          <w:szCs w:val="32"/>
        </w:rPr>
        <w:t>目</w:t>
      </w:r>
      <w:r>
        <w:rPr>
          <w:rFonts w:ascii="楷体" w:eastAsia="楷体" w:hAnsi="楷体" w:cs="楷体" w:hint="eastAsia"/>
          <w:szCs w:val="32"/>
        </w:rPr>
        <w:t>资金使用情况</w:t>
      </w:r>
    </w:p>
    <w:p w:rsidR="00447DDE" w:rsidRDefault="0064367E" w:rsidP="00447DDE">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lastRenderedPageBreak/>
        <w:t>我单位已及时足额拨付了该项目资金</w:t>
      </w:r>
      <w:r>
        <w:rPr>
          <w:rFonts w:ascii="Times New Roman" w:hAnsi="Times New Roman" w:cs="Times New Roman" w:hint="eastAsia"/>
          <w:szCs w:val="32"/>
        </w:rPr>
        <w:t>3378.25</w:t>
      </w:r>
      <w:r>
        <w:rPr>
          <w:rFonts w:ascii="Times New Roman" w:hAnsi="Times New Roman" w:cs="Times New Roman"/>
          <w:szCs w:val="32"/>
        </w:rPr>
        <w:t>万元至</w:t>
      </w:r>
      <w:r>
        <w:rPr>
          <w:rFonts w:ascii="仿宋_GB2312" w:hAnsi="仿宋_GB2312" w:cs="仿宋_GB2312" w:hint="eastAsia"/>
          <w:szCs w:val="32"/>
        </w:rPr>
        <w:t>中国数码港科技有限公司</w:t>
      </w:r>
      <w:r>
        <w:rPr>
          <w:rFonts w:ascii="Times New Roman" w:hAnsi="Times New Roman" w:cs="Times New Roman"/>
          <w:szCs w:val="32"/>
        </w:rPr>
        <w:t>，无滞留、挤占、挪用等违法乱纪情况，资金到位率</w:t>
      </w:r>
      <w:r>
        <w:rPr>
          <w:rFonts w:ascii="Times New Roman" w:hAnsi="Times New Roman" w:cs="Times New Roman"/>
          <w:szCs w:val="32"/>
        </w:rPr>
        <w:t>100%</w:t>
      </w:r>
      <w:r>
        <w:rPr>
          <w:rFonts w:ascii="Times New Roman" w:hAnsi="Times New Roman" w:cs="Times New Roman"/>
          <w:szCs w:val="32"/>
        </w:rPr>
        <w:t>。</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项目扶持资金严格按照《昆明市人民政府</w:t>
      </w:r>
      <w:r>
        <w:rPr>
          <w:rFonts w:ascii="仿宋_GB2312" w:hAnsi="仿宋_GB2312" w:cs="仿宋_GB2312" w:hint="eastAsia"/>
          <w:szCs w:val="32"/>
        </w:rPr>
        <w:t xml:space="preserve"> </w:t>
      </w:r>
      <w:r>
        <w:rPr>
          <w:rFonts w:ascii="仿宋_GB2312" w:hAnsi="仿宋_GB2312" w:cs="仿宋_GB2312" w:hint="eastAsia"/>
          <w:szCs w:val="32"/>
        </w:rPr>
        <w:t>中国数码港科技有限公司合作协议》和《昆明呈贡信息产业园区管理委员会</w:t>
      </w:r>
      <w:r>
        <w:rPr>
          <w:rFonts w:ascii="仿宋_GB2312" w:hAnsi="仿宋_GB2312" w:cs="仿宋_GB2312" w:hint="eastAsia"/>
          <w:szCs w:val="32"/>
        </w:rPr>
        <w:t xml:space="preserve"> </w:t>
      </w:r>
      <w:r>
        <w:rPr>
          <w:rFonts w:ascii="仿宋_GB2312" w:hAnsi="仿宋_GB2312" w:cs="仿宋_GB2312" w:hint="eastAsia"/>
          <w:szCs w:val="32"/>
        </w:rPr>
        <w:t>中国数码港科技有限公司合作协议》约定进行扶持。扶持资金拨付经昆明呈贡信息产业园区管理委员会</w:t>
      </w:r>
      <w:r>
        <w:rPr>
          <w:rFonts w:ascii="仿宋_GB2312" w:hAnsi="仿宋_GB2312" w:cs="仿宋_GB2312" w:hint="eastAsia"/>
          <w:szCs w:val="32"/>
        </w:rPr>
        <w:t>2019</w:t>
      </w:r>
      <w:r>
        <w:rPr>
          <w:rFonts w:ascii="仿宋_GB2312" w:hAnsi="仿宋_GB2312" w:cs="仿宋_GB2312" w:hint="eastAsia"/>
          <w:szCs w:val="32"/>
        </w:rPr>
        <w:t>年第</w:t>
      </w:r>
      <w:r>
        <w:rPr>
          <w:rFonts w:ascii="仿宋_GB2312" w:hAnsi="仿宋_GB2312" w:cs="仿宋_GB2312" w:hint="eastAsia"/>
          <w:szCs w:val="32"/>
        </w:rPr>
        <w:t>14</w:t>
      </w:r>
      <w:r>
        <w:rPr>
          <w:rFonts w:ascii="仿宋_GB2312" w:hAnsi="仿宋_GB2312" w:cs="仿宋_GB2312" w:hint="eastAsia"/>
          <w:szCs w:val="32"/>
        </w:rPr>
        <w:t>次主任办公会和中共昆明呈贡信息产业园区工作委员会</w:t>
      </w:r>
      <w:r>
        <w:rPr>
          <w:rFonts w:ascii="仿宋_GB2312" w:hAnsi="仿宋_GB2312" w:cs="仿宋_GB2312" w:hint="eastAsia"/>
          <w:szCs w:val="32"/>
        </w:rPr>
        <w:t>2019</w:t>
      </w:r>
      <w:r>
        <w:rPr>
          <w:rFonts w:ascii="仿宋_GB2312" w:hAnsi="仿宋_GB2312" w:cs="仿宋_GB2312" w:hint="eastAsia"/>
          <w:szCs w:val="32"/>
        </w:rPr>
        <w:t>年第</w:t>
      </w:r>
      <w:r>
        <w:rPr>
          <w:rFonts w:ascii="仿宋_GB2312" w:hAnsi="仿宋_GB2312" w:cs="仿宋_GB2312" w:hint="eastAsia"/>
          <w:szCs w:val="32"/>
        </w:rPr>
        <w:t>3</w:t>
      </w:r>
      <w:r>
        <w:rPr>
          <w:rFonts w:ascii="仿宋_GB2312" w:hAnsi="仿宋_GB2312" w:cs="仿宋_GB2312" w:hint="eastAsia"/>
          <w:szCs w:val="32"/>
        </w:rPr>
        <w:t>次党工委会审议通过。</w:t>
      </w:r>
    </w:p>
    <w:p w:rsidR="00447DDE" w:rsidRDefault="0064367E" w:rsidP="00447DDE">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中国数码港科技有限公司已于</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月全额缴纳土地出让金，正在办理项目建设前期行政审批手续办理工作。</w:t>
      </w:r>
    </w:p>
    <w:p w:rsidR="00447DDE" w:rsidRDefault="0064367E" w:rsidP="00447DDE">
      <w:pPr>
        <w:topLinePunct/>
        <w:ind w:firstLineChars="200" w:firstLine="593"/>
        <w:rPr>
          <w:rFonts w:ascii="仿宋_GB2312" w:eastAsia="楷体_GB2312" w:hAnsi="仿宋_GB2312" w:cs="仿宋_GB2312"/>
          <w:szCs w:val="32"/>
        </w:rPr>
      </w:pPr>
      <w:r>
        <w:rPr>
          <w:rFonts w:ascii="楷体_GB2312" w:eastAsia="楷体_GB2312" w:hAnsi="楷体_GB2312" w:cs="楷体_GB2312" w:hint="eastAsia"/>
          <w:szCs w:val="32"/>
        </w:rPr>
        <w:t>（三）</w:t>
      </w:r>
      <w:r>
        <w:rPr>
          <w:rFonts w:ascii="楷体_GB2312" w:eastAsia="楷体_GB2312" w:hAnsi="楷体_GB2312" w:cs="楷体_GB2312" w:hint="eastAsia"/>
          <w:szCs w:val="32"/>
        </w:rPr>
        <w:t>项目绩效情况分析</w:t>
      </w:r>
      <w:r>
        <w:rPr>
          <w:rFonts w:ascii="楷体_GB2312" w:eastAsia="楷体_GB2312" w:hAnsi="楷体_GB2312" w:cs="楷体_GB2312" w:hint="eastAsia"/>
          <w:szCs w:val="32"/>
        </w:rPr>
        <w:t>。</w:t>
      </w:r>
    </w:p>
    <w:p w:rsidR="00447DDE" w:rsidRDefault="0064367E" w:rsidP="00447DDE">
      <w:pPr>
        <w:topLinePunct/>
        <w:ind w:firstLineChars="200" w:firstLine="593"/>
        <w:rPr>
          <w:rFonts w:ascii="仿宋_GB2312" w:hAnsi="仿宋_GB2312" w:cs="仿宋_GB2312"/>
          <w:szCs w:val="32"/>
        </w:rPr>
      </w:pPr>
      <w:r>
        <w:rPr>
          <w:rFonts w:ascii="仿宋_GB2312" w:hAnsi="仿宋_GB2312" w:cs="仿宋_GB2312" w:hint="eastAsia"/>
          <w:szCs w:val="32"/>
        </w:rPr>
        <w:t>中国数码港科技有限公司已</w:t>
      </w:r>
      <w:r>
        <w:rPr>
          <w:rFonts w:ascii="仿宋_GB2312" w:hAnsi="仿宋_GB2312" w:cs="仿宋_GB2312"/>
          <w:szCs w:val="32"/>
        </w:rPr>
        <w:t>成立具备独立法人资格且独立核算的全资子公司</w:t>
      </w:r>
      <w:r>
        <w:rPr>
          <w:rFonts w:ascii="仿宋_GB2312" w:hAnsi="仿宋_GB2312" w:cs="仿宋_GB2312" w:hint="eastAsia"/>
          <w:szCs w:val="32"/>
        </w:rPr>
        <w:t>，并于</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月全额缴纳土地出让金。</w:t>
      </w:r>
    </w:p>
    <w:p w:rsidR="00447DDE" w:rsidRDefault="0064367E" w:rsidP="00447DDE">
      <w:pPr>
        <w:numPr>
          <w:ilvl w:val="0"/>
          <w:numId w:val="5"/>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447DDE" w:rsidRDefault="0064367E" w:rsidP="00447DDE">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447DDE" w:rsidRDefault="0064367E">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447DDE">
        <w:trPr>
          <w:trHeight w:val="499"/>
          <w:tblHeader/>
        </w:trPr>
        <w:tc>
          <w:tcPr>
            <w:tcW w:w="8862" w:type="dxa"/>
            <w:gridSpan w:val="7"/>
            <w:tcBorders>
              <w:top w:val="nil"/>
              <w:left w:val="nil"/>
              <w:right w:val="nil"/>
            </w:tcBorders>
            <w:vAlign w:val="center"/>
          </w:tcPr>
          <w:p w:rsidR="00447DDE" w:rsidRDefault="0064367E" w:rsidP="00447DDE">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p w:rsidR="00447DDE" w:rsidRDefault="00447DDE">
            <w:pPr>
              <w:widowControl/>
              <w:spacing w:line="260" w:lineRule="exact"/>
              <w:jc w:val="center"/>
              <w:rPr>
                <w:rFonts w:ascii="仿宋_GB2312" w:hAnsi="宋体" w:cs="宋体"/>
                <w:b/>
                <w:kern w:val="0"/>
                <w:sz w:val="20"/>
              </w:rPr>
            </w:pPr>
          </w:p>
        </w:tc>
      </w:tr>
      <w:tr w:rsidR="00447DDE">
        <w:trPr>
          <w:trHeight w:val="907"/>
          <w:tblHeader/>
        </w:trPr>
        <w:tc>
          <w:tcPr>
            <w:tcW w:w="631" w:type="dxa"/>
            <w:gridSpan w:val="2"/>
            <w:vAlign w:val="center"/>
          </w:tcPr>
          <w:p w:rsidR="00447DDE" w:rsidRDefault="0064367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lastRenderedPageBreak/>
              <w:t>一级指标</w:t>
            </w:r>
          </w:p>
        </w:tc>
        <w:tc>
          <w:tcPr>
            <w:tcW w:w="728" w:type="dxa"/>
            <w:vAlign w:val="center"/>
          </w:tcPr>
          <w:p w:rsidR="00447DDE" w:rsidRDefault="0064367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447DDE" w:rsidRDefault="0064367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447DDE" w:rsidRDefault="0064367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447DDE" w:rsidRDefault="0064367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447DDE" w:rsidRDefault="0064367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r>
              <w:rPr>
                <w:rFonts w:ascii="仿宋_GB2312" w:hAnsi="宋体" w:cs="宋体" w:hint="eastAsia"/>
                <w:b/>
                <w:kern w:val="0"/>
                <w:sz w:val="21"/>
                <w:szCs w:val="21"/>
              </w:rPr>
              <w:t>说明</w:t>
            </w:r>
          </w:p>
        </w:tc>
        <w:tc>
          <w:tcPr>
            <w:tcW w:w="3105" w:type="dxa"/>
            <w:vAlign w:val="center"/>
          </w:tcPr>
          <w:p w:rsidR="00447DDE" w:rsidRDefault="0064367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447DDE">
        <w:trPr>
          <w:trHeight w:val="907"/>
        </w:trPr>
        <w:tc>
          <w:tcPr>
            <w:tcW w:w="623" w:type="dxa"/>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447DDE" w:rsidRDefault="0064367E">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４</w:t>
            </w:r>
          </w:p>
        </w:tc>
        <w:tc>
          <w:tcPr>
            <w:tcW w:w="2767" w:type="dxa"/>
            <w:vAlign w:val="center"/>
          </w:tcPr>
          <w:p w:rsidR="00447DDE" w:rsidRDefault="0064367E">
            <w:pPr>
              <w:spacing w:line="260" w:lineRule="exact"/>
              <w:jc w:val="left"/>
              <w:rPr>
                <w:rFonts w:ascii="仿宋_GB2312" w:hAnsi="宋体" w:cs="宋体"/>
                <w:kern w:val="0"/>
                <w:sz w:val="21"/>
                <w:szCs w:val="21"/>
              </w:rPr>
            </w:pPr>
            <w:r>
              <w:rPr>
                <w:rFonts w:ascii="仿宋_GB2312" w:hAnsi="宋体" w:cs="宋体" w:hint="eastAsia"/>
                <w:kern w:val="0"/>
                <w:sz w:val="21"/>
                <w:szCs w:val="21"/>
              </w:rPr>
              <w:t>引进信息产业、</w:t>
            </w:r>
            <w:r>
              <w:rPr>
                <w:rFonts w:ascii="仿宋_GB2312" w:hAnsi="宋体" w:cs="宋体" w:hint="eastAsia"/>
                <w:kern w:val="0"/>
                <w:sz w:val="21"/>
                <w:szCs w:val="21"/>
              </w:rPr>
              <w:t xml:space="preserve"> </w:t>
            </w:r>
            <w:r>
              <w:rPr>
                <w:rFonts w:ascii="仿宋_GB2312" w:hAnsi="宋体" w:cs="宋体" w:hint="eastAsia"/>
                <w:kern w:val="0"/>
                <w:sz w:val="21"/>
                <w:szCs w:val="21"/>
              </w:rPr>
              <w:t>互联网、大数据产业相关优势企业，打造专业园中园。</w:t>
            </w:r>
          </w:p>
        </w:tc>
        <w:tc>
          <w:tcPr>
            <w:tcW w:w="3105" w:type="dxa"/>
            <w:vAlign w:val="center"/>
          </w:tcPr>
          <w:p w:rsidR="00447DDE" w:rsidRDefault="0064367E">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447DDE">
        <w:trPr>
          <w:trHeight w:val="90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４</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1.</w:t>
            </w:r>
            <w:r>
              <w:rPr>
                <w:rFonts w:ascii="仿宋_GB2312" w:hAnsi="宋体" w:cs="宋体" w:hint="eastAsia"/>
                <w:kern w:val="0"/>
                <w:sz w:val="21"/>
                <w:szCs w:val="21"/>
              </w:rPr>
              <w:t>《昆明市人民政府中国数码港科技有限公司合作协议》</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２</w:t>
            </w:r>
            <w:r>
              <w:rPr>
                <w:rFonts w:ascii="仿宋_GB2312" w:hAnsi="宋体" w:cs="宋体" w:hint="eastAsia"/>
                <w:kern w:val="0"/>
                <w:sz w:val="21"/>
                <w:szCs w:val="21"/>
              </w:rPr>
              <w:t>.</w:t>
            </w:r>
            <w:r>
              <w:rPr>
                <w:rFonts w:ascii="仿宋_GB2312" w:hAnsi="宋体" w:cs="宋体" w:hint="eastAsia"/>
                <w:kern w:val="0"/>
                <w:sz w:val="21"/>
                <w:szCs w:val="21"/>
              </w:rPr>
              <w:t>《昆明呈贡信息产业园区管理委员会中国数码港科技有限公司合作协议》</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3.</w:t>
            </w:r>
            <w:r>
              <w:rPr>
                <w:rFonts w:ascii="仿宋_GB2312" w:hAnsi="宋体" w:cs="宋体" w:hint="eastAsia"/>
                <w:kern w:val="0"/>
                <w:sz w:val="21"/>
                <w:szCs w:val="21"/>
              </w:rPr>
              <w:t>《中国数码港昆明大数据产业园补充协议》</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4.</w:t>
            </w:r>
            <w:r>
              <w:rPr>
                <w:rFonts w:ascii="仿宋_GB2312" w:hAnsi="宋体" w:cs="宋体" w:hint="eastAsia"/>
                <w:kern w:val="0"/>
                <w:sz w:val="21"/>
                <w:szCs w:val="21"/>
              </w:rPr>
              <w:t>昆明呈贡信息产业园区管理委员会</w:t>
            </w:r>
            <w:r>
              <w:rPr>
                <w:rFonts w:ascii="仿宋_GB2312" w:hAnsi="宋体" w:cs="宋体" w:hint="eastAsia"/>
                <w:kern w:val="0"/>
                <w:sz w:val="21"/>
                <w:szCs w:val="21"/>
              </w:rPr>
              <w:t>2019</w:t>
            </w:r>
            <w:r>
              <w:rPr>
                <w:rFonts w:ascii="仿宋_GB2312" w:hAnsi="宋体" w:cs="宋体" w:hint="eastAsia"/>
                <w:kern w:val="0"/>
                <w:sz w:val="21"/>
                <w:szCs w:val="21"/>
              </w:rPr>
              <w:t>年第</w:t>
            </w:r>
            <w:r>
              <w:rPr>
                <w:rFonts w:ascii="仿宋_GB2312" w:hAnsi="宋体" w:cs="宋体" w:hint="eastAsia"/>
                <w:kern w:val="0"/>
                <w:sz w:val="21"/>
                <w:szCs w:val="21"/>
              </w:rPr>
              <w:t>14</w:t>
            </w:r>
            <w:r>
              <w:rPr>
                <w:rFonts w:ascii="仿宋_GB2312" w:hAnsi="宋体" w:cs="宋体" w:hint="eastAsia"/>
                <w:kern w:val="0"/>
                <w:sz w:val="21"/>
                <w:szCs w:val="21"/>
              </w:rPr>
              <w:t>次主任办公会会议纪要</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5.</w:t>
            </w:r>
            <w:r>
              <w:rPr>
                <w:rFonts w:ascii="仿宋_GB2312" w:hAnsi="宋体" w:cs="宋体" w:hint="eastAsia"/>
                <w:kern w:val="0"/>
                <w:sz w:val="21"/>
                <w:szCs w:val="21"/>
              </w:rPr>
              <w:t>中共昆明呈贡信息产业园区工作委员会</w:t>
            </w:r>
            <w:r>
              <w:rPr>
                <w:rFonts w:ascii="仿宋_GB2312" w:hAnsi="宋体" w:cs="宋体" w:hint="eastAsia"/>
                <w:kern w:val="0"/>
                <w:sz w:val="21"/>
                <w:szCs w:val="21"/>
              </w:rPr>
              <w:t>2019</w:t>
            </w:r>
            <w:r>
              <w:rPr>
                <w:rFonts w:ascii="仿宋_GB2312" w:hAnsi="宋体" w:cs="宋体" w:hint="eastAsia"/>
                <w:kern w:val="0"/>
                <w:sz w:val="21"/>
                <w:szCs w:val="21"/>
              </w:rPr>
              <w:t>年第</w:t>
            </w:r>
            <w:r>
              <w:rPr>
                <w:rFonts w:ascii="仿宋_GB2312" w:hAnsi="宋体" w:cs="宋体" w:hint="eastAsia"/>
                <w:kern w:val="0"/>
                <w:sz w:val="21"/>
                <w:szCs w:val="21"/>
              </w:rPr>
              <w:t>3</w:t>
            </w:r>
            <w:r>
              <w:rPr>
                <w:rFonts w:ascii="仿宋_GB2312" w:hAnsi="宋体" w:cs="宋体" w:hint="eastAsia"/>
                <w:kern w:val="0"/>
                <w:sz w:val="21"/>
                <w:szCs w:val="21"/>
              </w:rPr>
              <w:t>次党工委会会议纪要</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447DDE">
        <w:trPr>
          <w:trHeight w:val="83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４</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hint="eastAsia"/>
                <w:kern w:val="0"/>
                <w:sz w:val="21"/>
                <w:szCs w:val="21"/>
              </w:rPr>
              <w:t>，</w:t>
            </w:r>
            <w:r>
              <w:rPr>
                <w:rFonts w:ascii="仿宋_GB2312" w:hAnsi="宋体" w:cs="宋体" w:hint="eastAsia"/>
                <w:kern w:val="0"/>
                <w:sz w:val="21"/>
                <w:szCs w:val="21"/>
              </w:rPr>
              <w:t>项目申报、批复程序符合管理办法</w:t>
            </w:r>
            <w:r>
              <w:rPr>
                <w:rFonts w:ascii="仿宋_GB2312" w:hAnsi="宋体" w:cs="宋体" w:hint="eastAsia"/>
                <w:kern w:val="0"/>
                <w:sz w:val="21"/>
                <w:szCs w:val="21"/>
              </w:rPr>
              <w:t>，</w:t>
            </w:r>
            <w:r>
              <w:rPr>
                <w:rFonts w:ascii="仿宋_GB2312" w:hAnsi="宋体" w:cs="宋体" w:hint="eastAsia"/>
                <w:kern w:val="0"/>
                <w:sz w:val="21"/>
                <w:szCs w:val="21"/>
              </w:rPr>
              <w:t>项目调整履行了相应手续</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447DDE">
        <w:trPr>
          <w:trHeight w:val="90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３</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根据相关资金管理办法；管理办法中有明确资金分配办法；资金分配因素全面、合理</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447DDE">
        <w:trPr>
          <w:trHeight w:val="90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５</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资金分配符合相关管理办法；分配结果公平合理</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447DDE">
        <w:trPr>
          <w:trHeight w:val="747"/>
        </w:trPr>
        <w:tc>
          <w:tcPr>
            <w:tcW w:w="623" w:type="dxa"/>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2019.11.27</w:t>
            </w:r>
            <w:r>
              <w:rPr>
                <w:rFonts w:ascii="仿宋_GB2312" w:hAnsi="宋体" w:cs="宋体" w:hint="eastAsia"/>
                <w:kern w:val="0"/>
                <w:sz w:val="21"/>
                <w:szCs w:val="21"/>
              </w:rPr>
              <w:t>已拨付数码港扶持资金</w:t>
            </w:r>
            <w:r>
              <w:rPr>
                <w:rFonts w:ascii="仿宋_GB2312" w:hAnsi="宋体" w:cs="宋体" w:hint="eastAsia"/>
                <w:kern w:val="0"/>
                <w:sz w:val="21"/>
                <w:szCs w:val="21"/>
              </w:rPr>
              <w:t>3778.25</w:t>
            </w:r>
            <w:r>
              <w:rPr>
                <w:rFonts w:ascii="仿宋_GB2312" w:hAnsi="宋体" w:cs="宋体" w:hint="eastAsia"/>
                <w:kern w:val="0"/>
                <w:sz w:val="21"/>
                <w:szCs w:val="21"/>
              </w:rPr>
              <w:t>，资金</w:t>
            </w:r>
            <w:r>
              <w:rPr>
                <w:rFonts w:ascii="仿宋_GB2312" w:hAnsi="宋体" w:cs="宋体" w:hint="eastAsia"/>
                <w:kern w:val="0"/>
                <w:sz w:val="21"/>
                <w:szCs w:val="21"/>
              </w:rPr>
              <w:t>实际到位</w:t>
            </w:r>
            <w:r>
              <w:rPr>
                <w:rFonts w:ascii="仿宋_GB2312" w:hAnsi="宋体" w:cs="宋体" w:hint="eastAsia"/>
                <w:kern w:val="0"/>
                <w:sz w:val="21"/>
                <w:szCs w:val="21"/>
              </w:rPr>
              <w:t>率</w:t>
            </w:r>
            <w:r>
              <w:rPr>
                <w:rFonts w:ascii="仿宋_GB2312" w:hAnsi="宋体" w:cs="宋体"/>
                <w:kern w:val="0"/>
                <w:sz w:val="21"/>
                <w:szCs w:val="21"/>
              </w:rPr>
              <w:t>100%</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447DDE">
        <w:trPr>
          <w:trHeight w:val="90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２</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资金及时到位</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447DDE">
        <w:trPr>
          <w:trHeight w:val="90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７</w:t>
            </w:r>
          </w:p>
        </w:tc>
        <w:tc>
          <w:tcPr>
            <w:tcW w:w="2767" w:type="dxa"/>
            <w:vAlign w:val="center"/>
          </w:tcPr>
          <w:p w:rsidR="00447DDE" w:rsidRDefault="0064367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支出依据合规，无虚列项目支出情况</w:t>
            </w:r>
            <w:r>
              <w:rPr>
                <w:rFonts w:ascii="仿宋_GB2312" w:hAnsi="宋体" w:cs="宋体" w:hint="eastAsia"/>
                <w:kern w:val="0"/>
                <w:sz w:val="21"/>
                <w:szCs w:val="21"/>
              </w:rPr>
              <w:t>、</w:t>
            </w:r>
            <w:r>
              <w:rPr>
                <w:rFonts w:ascii="仿宋_GB2312" w:hAnsi="宋体" w:cs="宋体" w:hint="eastAsia"/>
                <w:kern w:val="0"/>
                <w:sz w:val="21"/>
                <w:szCs w:val="21"/>
              </w:rPr>
              <w:t>截留挤占挪用情况</w:t>
            </w:r>
            <w:r>
              <w:rPr>
                <w:rFonts w:ascii="仿宋_GB2312" w:hAnsi="宋体" w:cs="宋体" w:hint="eastAsia"/>
                <w:kern w:val="0"/>
                <w:sz w:val="21"/>
                <w:szCs w:val="21"/>
              </w:rPr>
              <w:t>、</w:t>
            </w:r>
            <w:r>
              <w:rPr>
                <w:rFonts w:ascii="仿宋_GB2312" w:hAnsi="宋体" w:cs="宋体" w:hint="eastAsia"/>
                <w:kern w:val="0"/>
                <w:sz w:val="21"/>
                <w:szCs w:val="21"/>
              </w:rPr>
              <w:t>超标准开支情况</w:t>
            </w:r>
            <w:r>
              <w:rPr>
                <w:rFonts w:ascii="仿宋_GB2312" w:hAnsi="宋体" w:cs="宋体" w:hint="eastAsia"/>
                <w:kern w:val="0"/>
                <w:sz w:val="21"/>
                <w:szCs w:val="21"/>
              </w:rPr>
              <w:t>、、</w:t>
            </w:r>
            <w:r>
              <w:rPr>
                <w:rFonts w:ascii="仿宋_GB2312" w:hAnsi="宋体" w:cs="宋体" w:hint="eastAsia"/>
                <w:kern w:val="0"/>
                <w:sz w:val="21"/>
                <w:szCs w:val="21"/>
              </w:rPr>
              <w:t>超预算情况</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447DDE">
        <w:trPr>
          <w:trHeight w:val="90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３</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资金管理、费用支出等制度健全；制度执行严格；会计核算规范</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447DDE">
        <w:trPr>
          <w:trHeight w:val="907"/>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１</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hint="eastAsia"/>
                <w:kern w:val="0"/>
                <w:sz w:val="21"/>
                <w:szCs w:val="21"/>
              </w:rPr>
              <w:t>。</w:t>
            </w:r>
          </w:p>
        </w:tc>
        <w:tc>
          <w:tcPr>
            <w:tcW w:w="3105" w:type="dxa"/>
            <w:vAlign w:val="center"/>
          </w:tcPr>
          <w:p w:rsidR="00447DDE" w:rsidRDefault="0064367E" w:rsidP="00447DDE">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447DDE">
        <w:trPr>
          <w:trHeight w:val="879"/>
        </w:trPr>
        <w:tc>
          <w:tcPr>
            <w:tcW w:w="623" w:type="dxa"/>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lastRenderedPageBreak/>
              <w:t>项目</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３</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项目按计划开工；按计划进度开展；按计划完工</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按计划开展（</w:t>
            </w:r>
            <w:r>
              <w:rPr>
                <w:rFonts w:ascii="仿宋_GB2312" w:hAnsi="宋体" w:cs="宋体"/>
                <w:kern w:val="0"/>
                <w:sz w:val="21"/>
                <w:szCs w:val="21"/>
              </w:rPr>
              <w:t>1</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按计划完工（</w:t>
            </w:r>
            <w:r>
              <w:rPr>
                <w:rFonts w:ascii="仿宋_GB2312" w:hAnsi="宋体" w:cs="宋体"/>
                <w:kern w:val="0"/>
                <w:sz w:val="21"/>
                <w:szCs w:val="21"/>
              </w:rPr>
              <w:t>1</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６</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项目管理制度健全；严格执行相关管理制度</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447DDE">
        <w:trPr>
          <w:trHeight w:val="1905"/>
        </w:trPr>
        <w:tc>
          <w:tcPr>
            <w:tcW w:w="623" w:type="dxa"/>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５</w:t>
            </w:r>
          </w:p>
        </w:tc>
        <w:tc>
          <w:tcPr>
            <w:tcW w:w="2767" w:type="dxa"/>
            <w:vAlign w:val="center"/>
          </w:tcPr>
          <w:p w:rsidR="00447DDE" w:rsidRDefault="0064367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按土地招拍挂流程竞拍取得土地。</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４</w:t>
            </w:r>
          </w:p>
        </w:tc>
        <w:tc>
          <w:tcPr>
            <w:tcW w:w="2767" w:type="dxa"/>
            <w:vAlign w:val="center"/>
          </w:tcPr>
          <w:p w:rsidR="00447DDE" w:rsidRDefault="0064367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竞拍取得土地后依法、依规、以协议开展项目建设。</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３</w:t>
            </w:r>
          </w:p>
        </w:tc>
        <w:tc>
          <w:tcPr>
            <w:tcW w:w="2767" w:type="dxa"/>
            <w:vAlign w:val="center"/>
          </w:tcPr>
          <w:p w:rsidR="00447DDE" w:rsidRDefault="0064367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一期项目已于取得土地后开展项目建设前期准备工作。</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447DDE" w:rsidRDefault="0064367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依法依规取得土地，开展项目建设，五年内投资总额达到</w:t>
            </w:r>
            <w:r>
              <w:rPr>
                <w:rFonts w:ascii="仿宋_GB2312" w:hAnsi="宋体" w:cs="宋体" w:hint="eastAsia"/>
                <w:kern w:val="0"/>
                <w:sz w:val="21"/>
                <w:szCs w:val="21"/>
              </w:rPr>
              <w:t>22</w:t>
            </w:r>
            <w:r>
              <w:rPr>
                <w:rFonts w:ascii="仿宋_GB2312" w:hAnsi="宋体" w:cs="宋体" w:hint="eastAsia"/>
                <w:kern w:val="0"/>
                <w:sz w:val="21"/>
                <w:szCs w:val="21"/>
              </w:rPr>
              <w:t>亿元人民币。</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restart"/>
            <w:vAlign w:val="center"/>
          </w:tcPr>
          <w:p w:rsidR="00447DDE" w:rsidRDefault="00447DDE">
            <w:pPr>
              <w:widowControl/>
              <w:spacing w:line="260" w:lineRule="exact"/>
              <w:rPr>
                <w:rFonts w:ascii="仿宋_GB2312" w:hAnsi="宋体" w:cs="宋体"/>
                <w:kern w:val="0"/>
                <w:sz w:val="21"/>
                <w:szCs w:val="21"/>
              </w:rPr>
            </w:pP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447DDE" w:rsidRDefault="0064367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依法依取得土地，支付土地出让价款。</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８</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服务相关产业，孵化优质企业，牵引传统产业升级转型。</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８</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完全无污染，零排放。</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８</w:t>
            </w:r>
          </w:p>
        </w:tc>
        <w:tc>
          <w:tcPr>
            <w:tcW w:w="2767"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项目产出能持续运用；项目运行所依赖的政策制度能持续执行</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447DDE">
        <w:trPr>
          <w:trHeight w:val="879"/>
        </w:trPr>
        <w:tc>
          <w:tcPr>
            <w:tcW w:w="623" w:type="dxa"/>
            <w:vMerge/>
            <w:vAlign w:val="center"/>
          </w:tcPr>
          <w:p w:rsidR="00447DDE" w:rsidRDefault="00447DDE">
            <w:pPr>
              <w:widowControl/>
              <w:spacing w:line="260" w:lineRule="exact"/>
              <w:jc w:val="left"/>
              <w:rPr>
                <w:rFonts w:ascii="仿宋_GB2312" w:hAnsi="宋体" w:cs="宋体"/>
                <w:kern w:val="0"/>
                <w:sz w:val="21"/>
                <w:szCs w:val="21"/>
              </w:rPr>
            </w:pPr>
          </w:p>
        </w:tc>
        <w:tc>
          <w:tcPr>
            <w:tcW w:w="736" w:type="dxa"/>
            <w:gridSpan w:val="2"/>
            <w:vMerge/>
            <w:vAlign w:val="center"/>
          </w:tcPr>
          <w:p w:rsidR="00447DDE" w:rsidRDefault="00447DDE">
            <w:pPr>
              <w:widowControl/>
              <w:spacing w:line="260" w:lineRule="exact"/>
              <w:jc w:val="left"/>
              <w:rPr>
                <w:rFonts w:ascii="仿宋_GB2312" w:hAnsi="宋体" w:cs="宋体"/>
                <w:kern w:val="0"/>
                <w:sz w:val="21"/>
                <w:szCs w:val="21"/>
              </w:rPr>
            </w:pPr>
          </w:p>
        </w:tc>
        <w:tc>
          <w:tcPr>
            <w:tcW w:w="991"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８</w:t>
            </w:r>
          </w:p>
        </w:tc>
        <w:tc>
          <w:tcPr>
            <w:tcW w:w="2767" w:type="dxa"/>
            <w:vAlign w:val="center"/>
          </w:tcPr>
          <w:p w:rsidR="00447DDE" w:rsidRDefault="0064367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所支持企业效率提升，对服务质量基本满意</w:t>
            </w:r>
            <w:r>
              <w:rPr>
                <w:rFonts w:ascii="仿宋_GB2312" w:hAnsi="宋体" w:cs="宋体" w:hint="eastAsia"/>
                <w:kern w:val="0"/>
                <w:sz w:val="21"/>
                <w:szCs w:val="21"/>
              </w:rPr>
              <w:t>。</w:t>
            </w:r>
          </w:p>
        </w:tc>
        <w:tc>
          <w:tcPr>
            <w:tcW w:w="3105" w:type="dxa"/>
            <w:vAlign w:val="center"/>
          </w:tcPr>
          <w:p w:rsidR="00447DDE" w:rsidRDefault="0064367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447DDE">
        <w:trPr>
          <w:trHeight w:val="459"/>
        </w:trPr>
        <w:tc>
          <w:tcPr>
            <w:tcW w:w="2350" w:type="dxa"/>
            <w:gridSpan w:val="4"/>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lastRenderedPageBreak/>
              <w:t>总分</w:t>
            </w:r>
          </w:p>
        </w:tc>
        <w:tc>
          <w:tcPr>
            <w:tcW w:w="640"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96</w:t>
            </w:r>
            <w:bookmarkStart w:id="1" w:name="_GoBack"/>
            <w:bookmarkEnd w:id="1"/>
          </w:p>
        </w:tc>
        <w:tc>
          <w:tcPr>
            <w:tcW w:w="2767"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447DDE" w:rsidRDefault="0064367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447DDE" w:rsidRDefault="0064367E" w:rsidP="00447DDE">
      <w:pPr>
        <w:numPr>
          <w:ilvl w:val="0"/>
          <w:numId w:val="5"/>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447DDE" w:rsidRDefault="0064367E" w:rsidP="00447DDE">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年度及以前年度绩效评价结果经验，对于以后的年度预算安排应该更合理科学，完善项目支出预算编制方法，合理利用财政资金，提高财政资金使用效率和效益。</w:t>
      </w:r>
    </w:p>
    <w:p w:rsidR="00447DDE" w:rsidRDefault="0064367E" w:rsidP="00447DDE">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447DDE" w:rsidRDefault="0064367E" w:rsidP="00447DDE">
      <w:pPr>
        <w:spacing w:line="560" w:lineRule="exact"/>
        <w:ind w:leftChars="200" w:left="593"/>
        <w:rPr>
          <w:rFonts w:asciiTheme="majorHAnsi" w:hAnsiTheme="majorHAnsi" w:cstheme="majorBidi"/>
          <w:bCs/>
          <w:szCs w:val="32"/>
        </w:rPr>
      </w:pPr>
      <w:r>
        <w:rPr>
          <w:rFonts w:ascii="仿宋_GB2312" w:hint="eastAsia"/>
          <w:b/>
          <w:szCs w:val="32"/>
        </w:rPr>
        <w:t>七、</w:t>
      </w:r>
      <w:r>
        <w:rPr>
          <w:rFonts w:ascii="仿宋_GB2312" w:hint="eastAsia"/>
          <w:b/>
          <w:szCs w:val="32"/>
        </w:rPr>
        <w:t>主要经验及做法、存在的问题和建议</w:t>
      </w:r>
      <w:r>
        <w:rPr>
          <w:rFonts w:ascii="仿宋_GB2312" w:hint="eastAsia"/>
          <w:b/>
          <w:szCs w:val="32"/>
        </w:rPr>
        <w:t>。</w:t>
      </w:r>
      <w:bookmarkStart w:id="2" w:name="_Toc30514902"/>
    </w:p>
    <w:bookmarkEnd w:id="2"/>
    <w:p w:rsidR="00447DDE" w:rsidRDefault="0064367E" w:rsidP="00447DDE">
      <w:pPr>
        <w:spacing w:line="560" w:lineRule="exact"/>
        <w:ind w:firstLineChars="200" w:firstLine="593"/>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、制订详细、可行的项目工作方案，指定项目工作流程及审核程序。明确各责任，相互协调配合，共同促进项目进展。</w:t>
      </w:r>
    </w:p>
    <w:p w:rsidR="00447DDE" w:rsidRDefault="0064367E" w:rsidP="00447DDE">
      <w:pPr>
        <w:spacing w:line="560" w:lineRule="exact"/>
        <w:ind w:firstLineChars="200" w:firstLine="593"/>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、严格按照国家有关规定编制有关文件并报审，程序规范。</w:t>
      </w:r>
    </w:p>
    <w:p w:rsidR="00447DDE" w:rsidRDefault="0064367E" w:rsidP="00447DDE">
      <w:pPr>
        <w:spacing w:line="560" w:lineRule="exact"/>
        <w:ind w:firstLineChars="200" w:firstLine="593"/>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、严格按照审批文件组织招投标，签订合同、开展施工等，组织严密，程序规范。</w:t>
      </w:r>
    </w:p>
    <w:p w:rsidR="00447DDE" w:rsidRDefault="0064367E" w:rsidP="00447DDE">
      <w:pPr>
        <w:spacing w:line="560" w:lineRule="exact"/>
        <w:ind w:firstLineChars="200" w:firstLine="593"/>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、要求建设方合理安排项目的建设，加快实施步伐，加大施工监督管理，注重降低项目成本。</w:t>
      </w:r>
    </w:p>
    <w:p w:rsidR="00447DDE" w:rsidRDefault="001C1719" w:rsidP="001C1719">
      <w:pPr>
        <w:numPr>
          <w:ilvl w:val="0"/>
          <w:numId w:val="5"/>
        </w:numPr>
        <w:ind w:firstLineChars="200" w:firstLine="593"/>
        <w:rPr>
          <w:rFonts w:ascii="仿宋_GB2312"/>
          <w:b/>
          <w:szCs w:val="32"/>
        </w:rPr>
      </w:pPr>
      <w:r>
        <w:rPr>
          <w:rFonts w:ascii="Times New Roman" w:hAnsi="Times New Roman" w:cs="Times New Roman"/>
          <w:noProof/>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18.25pt;margin-top:9.8pt;width:127.45pt;height:127.45pt;z-index:251658240;mso-position-horizontal-relative:text;mso-position-vertical-relative:text" stroked="f">
            <v:imagedata r:id="rId8" o:title=""/>
          </v:shape>
          <w:control r:id="rId9" w:name="CWordOLECtrl1" w:shapeid="_x0000_s2050"/>
        </w:pict>
      </w:r>
      <w:r w:rsidR="0064367E">
        <w:rPr>
          <w:rFonts w:ascii="仿宋_GB2312" w:hint="eastAsia"/>
          <w:b/>
          <w:szCs w:val="32"/>
        </w:rPr>
        <w:t>其他需说明的问题。</w:t>
      </w:r>
    </w:p>
    <w:p w:rsidR="00447DDE" w:rsidRDefault="0064367E" w:rsidP="00447DDE">
      <w:pPr>
        <w:ind w:leftChars="200" w:left="593"/>
        <w:rPr>
          <w:rFonts w:ascii="Times New Roman" w:hAnsi="Times New Roman" w:cs="Times New Roman"/>
          <w:szCs w:val="32"/>
        </w:rPr>
      </w:pPr>
      <w:r>
        <w:rPr>
          <w:rFonts w:ascii="仿宋_GB2312" w:hint="eastAsia"/>
          <w:bCs/>
          <w:szCs w:val="32"/>
        </w:rPr>
        <w:t>无。</w:t>
      </w:r>
    </w:p>
    <w:p w:rsidR="00447DDE" w:rsidRDefault="0064367E" w:rsidP="00447DDE">
      <w:pPr>
        <w:spacing w:line="560" w:lineRule="exact"/>
        <w:ind w:firstLineChars="200" w:firstLine="593"/>
        <w:jc w:val="right"/>
        <w:rPr>
          <w:rFonts w:ascii="Times New Roman" w:hAnsi="Times New Roman" w:cs="Times New Roman"/>
          <w:szCs w:val="32"/>
        </w:rPr>
      </w:pPr>
      <w:r>
        <w:rPr>
          <w:rFonts w:ascii="Times New Roman" w:hAnsi="Times New Roman" w:cs="Times New Roman"/>
          <w:szCs w:val="32"/>
        </w:rPr>
        <w:t>昆明呈贡信息产业园区管理委员会</w:t>
      </w:r>
    </w:p>
    <w:p w:rsidR="00447DDE" w:rsidRDefault="0064367E" w:rsidP="00447DDE">
      <w:pPr>
        <w:spacing w:line="560" w:lineRule="exact"/>
        <w:ind w:firstLineChars="200" w:firstLine="593"/>
        <w:jc w:val="center"/>
      </w:pPr>
      <w:r>
        <w:rPr>
          <w:rFonts w:ascii="Times New Roman" w:hAnsi="Times New Roman" w:cs="Times New Roman"/>
          <w:szCs w:val="32"/>
        </w:rPr>
        <w:t xml:space="preserve">                 2020</w:t>
      </w:r>
      <w:r>
        <w:rPr>
          <w:rFonts w:ascii="Times New Roman" w:hAnsi="Times New Roman" w:cs="Times New Roman"/>
          <w:szCs w:val="32"/>
        </w:rPr>
        <w:t>年</w:t>
      </w:r>
      <w:r>
        <w:rPr>
          <w:rFonts w:ascii="Times New Roman" w:hAnsi="Times New Roman" w:cs="Times New Roman"/>
          <w:szCs w:val="32"/>
        </w:rPr>
        <w:t>4</w:t>
      </w:r>
      <w:r>
        <w:rPr>
          <w:rFonts w:ascii="Times New Roman" w:hAnsi="Times New Roman" w:cs="Times New Roman"/>
          <w:szCs w:val="32"/>
        </w:rPr>
        <w:t>月</w:t>
      </w:r>
      <w:r>
        <w:rPr>
          <w:rFonts w:ascii="Times New Roman" w:hAnsi="Times New Roman" w:cs="Times New Roman"/>
          <w:szCs w:val="32"/>
        </w:rPr>
        <w:t>2</w:t>
      </w:r>
      <w:r>
        <w:rPr>
          <w:rFonts w:ascii="Times New Roman" w:hAnsi="Times New Roman" w:cs="Times New Roman"/>
          <w:szCs w:val="32"/>
        </w:rPr>
        <w:t>日</w:t>
      </w:r>
    </w:p>
    <w:sectPr w:rsidR="00447DDE" w:rsidSect="00447DDE">
      <w:footerReference w:type="default" r:id="rId10"/>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DDE" w:rsidRDefault="00447DDE" w:rsidP="00447DDE">
      <w:r>
        <w:separator/>
      </w:r>
    </w:p>
  </w:endnote>
  <w:endnote w:type="continuationSeparator" w:id="1">
    <w:p w:rsidR="00447DDE" w:rsidRDefault="00447DDE" w:rsidP="00447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DE" w:rsidRDefault="00447DDE">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47DDE" w:rsidRDefault="00447DDE">
                <w:pPr>
                  <w:pStyle w:val="a3"/>
                  <w:rPr>
                    <w:rFonts w:ascii="Times New Roman" w:eastAsia="仿宋_GB2312" w:hAnsi="Times New Roman" w:cs="Times New Roman"/>
                    <w:sz w:val="30"/>
                    <w:szCs w:val="30"/>
                  </w:rPr>
                </w:pPr>
                <w:r>
                  <w:rPr>
                    <w:rFonts w:ascii="Times New Roman" w:hAnsi="Times New Roman" w:cs="Times New Roman"/>
                    <w:sz w:val="30"/>
                    <w:szCs w:val="30"/>
                  </w:rPr>
                  <w:fldChar w:fldCharType="begin"/>
                </w:r>
                <w:r w:rsidR="0064367E">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64367E">
                  <w:rPr>
                    <w:rFonts w:ascii="Times New Roman" w:hAnsi="Times New Roman" w:cs="Times New Roman"/>
                    <w:noProof/>
                    <w:sz w:val="30"/>
                    <w:szCs w:val="30"/>
                  </w:rPr>
                  <w:t>- 7 -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DDE" w:rsidRDefault="00447DDE" w:rsidP="00447DDE">
      <w:r>
        <w:separator/>
      </w:r>
    </w:p>
  </w:footnote>
  <w:footnote w:type="continuationSeparator" w:id="1">
    <w:p w:rsidR="00447DDE" w:rsidRDefault="00447DDE" w:rsidP="00447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E366414E"/>
    <w:multiLevelType w:val="singleLevel"/>
    <w:tmpl w:val="E366414E"/>
    <w:lvl w:ilvl="0">
      <w:start w:val="1"/>
      <w:numFmt w:val="chineseCounting"/>
      <w:suff w:val="nothing"/>
      <w:lvlText w:val="%1、"/>
      <w:lvlJc w:val="left"/>
      <w:rPr>
        <w:rFonts w:hint="eastAsia"/>
      </w:rPr>
    </w:lvl>
  </w:abstractNum>
  <w:abstractNum w:abstractNumId="3">
    <w:nsid w:val="229CE27D"/>
    <w:multiLevelType w:val="multilevel"/>
    <w:tmpl w:val="229CE27D"/>
    <w:lvl w:ilvl="0">
      <w:start w:val="1"/>
      <w:numFmt w:val="chineseCounting"/>
      <w:pStyle w:val="1"/>
      <w:suff w:val="nothing"/>
      <w:lvlText w:val="%1、"/>
      <w:lvlJc w:val="left"/>
      <w:rPr>
        <w:rFonts w:cs="Times New Roman" w:hint="eastAsia"/>
      </w:rPr>
    </w:lvl>
    <w:lvl w:ilvl="1">
      <w:start w:val="1"/>
      <w:numFmt w:val="chineseCounting"/>
      <w:suff w:val="nothing"/>
      <w:lvlText w:val="（%2）"/>
      <w:lvlJc w:val="left"/>
      <w:rPr>
        <w:rFonts w:cs="Times New Roman" w:hint="eastAsia"/>
      </w:rPr>
    </w:lvl>
    <w:lvl w:ilvl="2">
      <w:start w:val="1"/>
      <w:numFmt w:val="decimal"/>
      <w:suff w:val="nothing"/>
      <w:lvlText w:val="%3."/>
      <w:lvlJc w:val="left"/>
      <w:pPr>
        <w:tabs>
          <w:tab w:val="left" w:pos="2745"/>
        </w:tabs>
        <w:ind w:firstLine="400"/>
      </w:pPr>
      <w:rPr>
        <w:rFonts w:ascii="华文楷体" w:eastAsia="仿宋_GB2312" w:hAnsi="华文楷体" w:cs="Times New Roman"/>
      </w:rPr>
    </w:lvl>
    <w:lvl w:ilvl="3">
      <w:start w:val="1"/>
      <w:numFmt w:val="decimal"/>
      <w:suff w:val="nothing"/>
      <w:lvlText w:val="（%4）"/>
      <w:lvlJc w:val="left"/>
      <w:pPr>
        <w:ind w:firstLine="402"/>
      </w:pPr>
      <w:rPr>
        <w:rFonts w:cs="Times New Roman" w:hint="eastAsia"/>
      </w:rPr>
    </w:lvl>
    <w:lvl w:ilvl="4">
      <w:start w:val="1"/>
      <w:numFmt w:val="decimalEnclosedCircleChinese"/>
      <w:suff w:val="nothing"/>
      <w:lvlText w:val="%5"/>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4">
    <w:nsid w:val="43B18715"/>
    <w:multiLevelType w:val="singleLevel"/>
    <w:tmpl w:val="43B18715"/>
    <w:lvl w:ilvl="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P+Op4rg7ABC9qmCMcm482t7fCdQ=" w:salt="JtgB/0OXZru0AIHqm7QKtw=="/>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DDE"/>
    <w:rsid w:val="001C1719"/>
    <w:rsid w:val="00447DDE"/>
    <w:rsid w:val="0064367E"/>
    <w:rsid w:val="05AE36CA"/>
    <w:rsid w:val="06525C14"/>
    <w:rsid w:val="08563735"/>
    <w:rsid w:val="378A5996"/>
    <w:rsid w:val="51C05EE5"/>
    <w:rsid w:val="54C103C1"/>
    <w:rsid w:val="5A3C6978"/>
    <w:rsid w:val="5D1968B8"/>
    <w:rsid w:val="67600811"/>
    <w:rsid w:val="698972C9"/>
    <w:rsid w:val="6E710353"/>
    <w:rsid w:val="7AB36325"/>
    <w:rsid w:val="7B6F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47DDE"/>
    <w:pPr>
      <w:widowControl w:val="0"/>
      <w:jc w:val="both"/>
    </w:pPr>
    <w:rPr>
      <w:rFonts w:asciiTheme="minorHAnsi" w:eastAsia="仿宋_GB2312" w:hAnsiTheme="minorHAnsi" w:cstheme="minorBidi"/>
      <w:kern w:val="2"/>
      <w:sz w:val="32"/>
      <w:szCs w:val="22"/>
    </w:rPr>
  </w:style>
  <w:style w:type="paragraph" w:styleId="1">
    <w:name w:val="heading 1"/>
    <w:next w:val="a"/>
    <w:uiPriority w:val="99"/>
    <w:qFormat/>
    <w:rsid w:val="00447DDE"/>
    <w:pPr>
      <w:widowControl w:val="0"/>
      <w:numPr>
        <w:numId w:val="1"/>
      </w:numPr>
      <w:tabs>
        <w:tab w:val="left" w:pos="310"/>
      </w:tabs>
      <w:jc w:val="both"/>
      <w:outlineLvl w:val="0"/>
    </w:pPr>
    <w:rPr>
      <w:rFonts w:ascii="华文楷体" w:eastAsia="黑体" w:hAnsi="华文楷体"/>
      <w:sz w:val="32"/>
      <w:lang w:val="en-GB"/>
    </w:rPr>
  </w:style>
  <w:style w:type="paragraph" w:styleId="2">
    <w:name w:val="heading 2"/>
    <w:next w:val="a"/>
    <w:uiPriority w:val="9"/>
    <w:unhideWhenUsed/>
    <w:qFormat/>
    <w:rsid w:val="00447DDE"/>
    <w:pPr>
      <w:keepNext/>
      <w:keepLines/>
      <w:widowControl w:val="0"/>
      <w:spacing w:line="415" w:lineRule="auto"/>
      <w:ind w:firstLineChars="200" w:firstLine="200"/>
      <w:jc w:val="both"/>
      <w:outlineLvl w:val="1"/>
    </w:pPr>
    <w:rPr>
      <w:rFonts w:asciiTheme="majorHAnsi" w:eastAsia="楷体" w:hAnsiTheme="majorHAnsi" w:cstheme="majorBidi"/>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447DDE"/>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rsid w:val="00447D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587</Words>
  <Characters>3352</Characters>
  <Application>Microsoft Office Word</Application>
  <DocSecurity>0</DocSecurity>
  <Lines>27</Lines>
  <Paragraphs>7</Paragraphs>
  <ScaleCrop>false</ScaleCrop>
  <Company>微软中国</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3</cp:revision>
  <cp:lastPrinted>2020-03-17T03:50:00Z</cp:lastPrinted>
  <dcterms:created xsi:type="dcterms:W3CDTF">2014-10-29T12:08:00Z</dcterms:created>
  <dcterms:modified xsi:type="dcterms:W3CDTF">2020-04-15T07:21:00Z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1F286440DCFE47DE878101F890C32C63</vt:lpwstr>
  </property>
</Properties>
</file>