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after="0" w:line="560" w:lineRule="exact"/>
        <w:ind w:left="0" w:leftChars="0" w:right="0" w:rightChars="0"/>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昆明市呈贡区住房和城乡建设局</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昆明轨道交通四号线征地拆迁资金项目支出</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绩效评价报告</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4" w:firstLineChars="200"/>
        <w:textAlignment w:val="auto"/>
        <w:rPr>
          <w:rFonts w:ascii="仿宋_GB2312"/>
          <w:b/>
          <w:szCs w:val="32"/>
        </w:rPr>
      </w:pP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4" w:firstLineChars="200"/>
        <w:textAlignment w:val="auto"/>
        <w:rPr>
          <w:rFonts w:hint="eastAsia" w:ascii="黑体" w:hAnsi="黑体" w:eastAsia="黑体" w:cs="黑体"/>
          <w:b w:val="0"/>
          <w:bCs/>
          <w:szCs w:val="32"/>
        </w:rPr>
      </w:pPr>
      <w:r>
        <w:rPr>
          <w:rFonts w:hint="eastAsia" w:ascii="黑体" w:hAnsi="黑体" w:eastAsia="黑体" w:cs="黑体"/>
          <w:b w:val="0"/>
          <w:bCs/>
          <w:szCs w:val="32"/>
        </w:rPr>
        <w:t>一、基本情况</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（一）项目概况</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rPr>
          <w:rFonts w:ascii="仿宋_GB2312"/>
        </w:rPr>
      </w:pPr>
      <w:r>
        <w:rPr>
          <w:rFonts w:hint="eastAsia" w:ascii="仿宋_GB2312" w:hAnsi="仿宋" w:cs="仿宋"/>
          <w:color w:val="000000"/>
          <w:szCs w:val="32"/>
        </w:rPr>
        <w:t>昆明轨道交通4号线</w:t>
      </w:r>
      <w:r>
        <w:rPr>
          <w:rStyle w:val="8"/>
        </w:rPr>
        <w:t>工程试验段于2015年12月开工建设，由主城区西北部陈家营站至昆明火车南站，线路全长43.4公里，设站29座。项目建设地点位于五华区、高新区、盘龙区、官渡区、经开区、呈贡区管辖范围，需征地1499.6亩，需拆除建（构）物27.2万平方米。</w:t>
      </w:r>
      <w:r>
        <w:rPr>
          <w:rFonts w:hint="eastAsia" w:ascii="仿宋_GB2312" w:hAnsi="仿宋" w:cs="仿宋"/>
          <w:color w:val="000000"/>
          <w:szCs w:val="32"/>
        </w:rPr>
        <w:t>昆明轨道交通4号线（呈贡段）涉及9个站，需征地70.0065亩，</w:t>
      </w:r>
      <w:r>
        <w:rPr>
          <w:rStyle w:val="8"/>
        </w:rPr>
        <w:t>需拆除建（构）物</w:t>
      </w:r>
      <w:r>
        <w:rPr>
          <w:rStyle w:val="8"/>
          <w:rFonts w:hint="eastAsia"/>
        </w:rPr>
        <w:t>5300</w:t>
      </w:r>
      <w:r>
        <w:rPr>
          <w:rStyle w:val="8"/>
        </w:rPr>
        <w:t>平方米</w:t>
      </w:r>
      <w:r>
        <w:rPr>
          <w:rFonts w:hint="eastAsia" w:ascii="仿宋_GB2312" w:hAnsi="仿宋" w:cs="仿宋"/>
          <w:color w:val="000000"/>
          <w:szCs w:val="32"/>
        </w:rPr>
        <w:t>。</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（二）项目绩效目标。</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rPr>
          <w:rFonts w:ascii="仿宋_GB2312"/>
          <w:szCs w:val="32"/>
        </w:rPr>
      </w:pPr>
      <w:r>
        <w:rPr>
          <w:rFonts w:hint="eastAsia" w:ascii="仿宋_GB2312"/>
          <w:szCs w:val="32"/>
        </w:rPr>
        <w:t>1.项目绩效总目标。</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rPr>
          <w:rFonts w:ascii="仿宋_GB2312" w:hAnsi="仿宋_GB2312" w:cs="仿宋_GB2312"/>
          <w:szCs w:val="32"/>
        </w:rPr>
      </w:pPr>
      <w:r>
        <w:rPr>
          <w:rFonts w:hint="eastAsia" w:ascii="仿宋_GB2312" w:hAnsi="仿宋_GB2312" w:cs="仿宋_GB2312"/>
          <w:szCs w:val="32"/>
        </w:rPr>
        <w:t>以维护社会的稳定和谐为重点，以维护呈贡区被拆迁群众的切身利益为核心，完成</w:t>
      </w:r>
      <w:r>
        <w:rPr>
          <w:rFonts w:hint="eastAsia" w:ascii="仿宋_GB2312" w:hAnsi="仿宋" w:cs="仿宋"/>
          <w:color w:val="000000"/>
          <w:szCs w:val="32"/>
        </w:rPr>
        <w:t>昆明轨道交通4号线（呈贡段）</w:t>
      </w:r>
      <w:r>
        <w:rPr>
          <w:rFonts w:hint="eastAsia" w:ascii="仿宋_GB2312" w:hAnsi="仿宋_GB2312" w:cs="仿宋_GB2312"/>
          <w:szCs w:val="32"/>
        </w:rPr>
        <w:t>2017年涉及</w:t>
      </w:r>
      <w:r>
        <w:rPr>
          <w:rFonts w:hint="eastAsia" w:ascii="仿宋_GB2312" w:hAnsi="仿宋" w:cs="仿宋"/>
          <w:color w:val="000000"/>
          <w:szCs w:val="32"/>
        </w:rPr>
        <w:t>征地拆迁补偿</w:t>
      </w:r>
      <w:r>
        <w:rPr>
          <w:rFonts w:hint="eastAsia" w:ascii="仿宋_GB2312" w:hAnsi="仿宋_GB2312" w:cs="仿宋_GB2312"/>
          <w:szCs w:val="32"/>
        </w:rPr>
        <w:t>工作，保障市重点工程</w:t>
      </w:r>
      <w:r>
        <w:rPr>
          <w:rFonts w:hint="eastAsia" w:ascii="仿宋_GB2312" w:hAnsi="仿宋" w:cs="宋体"/>
          <w:color w:val="333333"/>
          <w:szCs w:val="32"/>
        </w:rPr>
        <w:t>项目得以正常推进</w:t>
      </w:r>
      <w:r>
        <w:rPr>
          <w:rFonts w:hint="eastAsia" w:ascii="仿宋_GB2312" w:hAnsi="仿宋_GB2312" w:cs="仿宋_GB2312"/>
          <w:szCs w:val="32"/>
        </w:rPr>
        <w:t>。</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rPr>
          <w:rFonts w:ascii="仿宋_GB2312"/>
          <w:szCs w:val="32"/>
        </w:rPr>
      </w:pPr>
      <w:r>
        <w:rPr>
          <w:rFonts w:hint="eastAsia" w:ascii="仿宋_GB2312"/>
          <w:szCs w:val="32"/>
        </w:rPr>
        <w:t>2.项目绩效阶段性目标。</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rPr>
          <w:rFonts w:ascii="仿宋_GB2312" w:hAnsi="仿宋_GB2312" w:cs="仿宋_GB2312"/>
          <w:szCs w:val="32"/>
        </w:rPr>
      </w:pPr>
      <w:r>
        <w:rPr>
          <w:rFonts w:hint="eastAsia" w:ascii="仿宋_GB2312" w:hAnsi="仿宋_GB2312" w:cs="仿宋_GB2312"/>
          <w:szCs w:val="32"/>
        </w:rPr>
        <w:t>2019年完成</w:t>
      </w:r>
      <w:r>
        <w:rPr>
          <w:rFonts w:hint="eastAsia" w:ascii="仿宋_GB2312" w:hAnsi="仿宋" w:cs="仿宋"/>
          <w:color w:val="000000"/>
          <w:szCs w:val="32"/>
        </w:rPr>
        <w:t>昆明轨道交通4号线（呈贡段）</w:t>
      </w:r>
      <w:r>
        <w:rPr>
          <w:rStyle w:val="8"/>
        </w:rPr>
        <w:t>拆除建（构）物</w:t>
      </w:r>
      <w:r>
        <w:rPr>
          <w:rStyle w:val="8"/>
          <w:rFonts w:hint="eastAsia"/>
        </w:rPr>
        <w:t>327.78</w:t>
      </w:r>
      <w:r>
        <w:rPr>
          <w:rStyle w:val="8"/>
        </w:rPr>
        <w:t>平方米</w:t>
      </w:r>
      <w:r>
        <w:rPr>
          <w:rStyle w:val="8"/>
          <w:rFonts w:hint="eastAsia"/>
        </w:rPr>
        <w:t>，兑付</w:t>
      </w:r>
      <w:r>
        <w:rPr>
          <w:rFonts w:hint="eastAsia" w:ascii="仿宋_GB2312" w:hAnsi="仿宋" w:cs="仿宋"/>
          <w:color w:val="000000"/>
          <w:szCs w:val="32"/>
        </w:rPr>
        <w:t>拆迁补偿资金</w:t>
      </w:r>
      <w:r>
        <w:rPr>
          <w:rFonts w:ascii="仿宋_GB2312" w:hAnsi="仿宋" w:cs="仿宋"/>
          <w:color w:val="000000"/>
          <w:szCs w:val="32"/>
        </w:rPr>
        <w:t>168729.78</w:t>
      </w:r>
      <w:r>
        <w:rPr>
          <w:rFonts w:hint="eastAsia" w:ascii="仿宋_GB2312" w:hAnsi="仿宋" w:cs="仿宋"/>
          <w:color w:val="000000"/>
          <w:szCs w:val="32"/>
        </w:rPr>
        <w:t>元</w:t>
      </w:r>
      <w:r>
        <w:rPr>
          <w:rFonts w:hint="eastAsia" w:ascii="仿宋_GB2312" w:hAnsi="仿宋_GB2312" w:cs="仿宋_GB2312"/>
          <w:szCs w:val="32"/>
        </w:rPr>
        <w:t>。</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4" w:firstLineChars="200"/>
        <w:textAlignment w:val="auto"/>
        <w:rPr>
          <w:rFonts w:hint="eastAsia" w:ascii="黑体" w:hAnsi="黑体" w:eastAsia="黑体" w:cs="黑体"/>
          <w:b w:val="0"/>
          <w:bCs/>
          <w:szCs w:val="32"/>
        </w:rPr>
      </w:pPr>
      <w:r>
        <w:rPr>
          <w:rFonts w:hint="eastAsia" w:ascii="黑体" w:hAnsi="黑体" w:eastAsia="黑体" w:cs="黑体"/>
          <w:b w:val="0"/>
          <w:bCs/>
          <w:szCs w:val="32"/>
        </w:rPr>
        <w:t>二、项目单位绩效报告情况</w:t>
      </w:r>
    </w:p>
    <w:p>
      <w:pPr>
        <w:keepNext w:val="0"/>
        <w:keepLines w:val="0"/>
        <w:pageBreakBefore w:val="0"/>
        <w:widowControl w:val="0"/>
        <w:kinsoku/>
        <w:wordWrap/>
        <w:overflowPunct/>
        <w:topLinePunct/>
        <w:autoSpaceDE/>
        <w:autoSpaceDN/>
        <w:bidi w:val="0"/>
        <w:adjustRightInd/>
        <w:snapToGrid/>
        <w:spacing w:after="0" w:line="560" w:lineRule="exact"/>
        <w:ind w:left="0" w:leftChars="0" w:right="0" w:rightChars="0" w:firstLine="632" w:firstLineChars="200"/>
        <w:textAlignment w:val="auto"/>
        <w:rPr>
          <w:rFonts w:ascii="仿宋_GB2312" w:hAnsi="仿宋"/>
          <w:szCs w:val="32"/>
        </w:rPr>
      </w:pPr>
      <w:r>
        <w:rPr>
          <w:rFonts w:hint="eastAsia" w:ascii="仿宋_GB2312" w:hAnsi="仿宋"/>
          <w:szCs w:val="32"/>
        </w:rPr>
        <w:t>呈贡区住房和城乡建设局已按要求对该项目进行了自评并形成了书面报告。</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4" w:firstLineChars="200"/>
        <w:textAlignment w:val="auto"/>
        <w:rPr>
          <w:rFonts w:hint="eastAsia" w:ascii="黑体" w:hAnsi="黑体" w:eastAsia="黑体" w:cs="黑体"/>
          <w:b w:val="0"/>
          <w:bCs/>
          <w:szCs w:val="32"/>
        </w:rPr>
      </w:pPr>
      <w:r>
        <w:rPr>
          <w:rFonts w:hint="eastAsia" w:ascii="黑体" w:hAnsi="黑体" w:eastAsia="黑体" w:cs="黑体"/>
          <w:b w:val="0"/>
          <w:bCs/>
          <w:szCs w:val="32"/>
        </w:rPr>
        <w:t>三、绩效评价工作情况</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（一）绩效评价目的。</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rPr>
          <w:rFonts w:ascii="仿宋_GB2312" w:hAnsi="仿宋" w:cs="宋体"/>
          <w:color w:val="333333"/>
          <w:szCs w:val="32"/>
        </w:rPr>
      </w:pPr>
      <w:r>
        <w:rPr>
          <w:rFonts w:hint="eastAsia" w:ascii="仿宋_GB2312" w:hAnsi="仿宋" w:cs="宋体"/>
          <w:color w:val="333333"/>
          <w:szCs w:val="32"/>
        </w:rPr>
        <w:t>财政支出绩效评价（以下简称绩效评价）的目的是根据财政部门和</w:t>
      </w:r>
      <w:r>
        <w:rPr>
          <w:rFonts w:hint="eastAsia" w:ascii="仿宋_GB2312" w:hAnsi="仿宋_GB2312" w:cs="仿宋_GB2312"/>
          <w:szCs w:val="32"/>
        </w:rPr>
        <w:t>呈贡区住房和城乡建设局</w:t>
      </w:r>
      <w:r>
        <w:rPr>
          <w:rFonts w:hint="eastAsia" w:ascii="仿宋_GB2312" w:hAnsi="仿宋" w:cs="宋体"/>
          <w:color w:val="333333"/>
          <w:szCs w:val="32"/>
        </w:rPr>
        <w:t>设定的昆明轨道交通4号线苗木搬迁补偿资金绩效目标，运用科学、合理的绩效评价指标、评价标准和评价方法，对财政支出的经济性、效率性和效益性进行客观、公正的评价。</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（二）绩效评价原则、评价指标体系、评价方法。</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rPr>
          <w:rFonts w:ascii="仿宋_GB2312"/>
          <w:szCs w:val="32"/>
        </w:rPr>
      </w:pPr>
      <w:r>
        <w:rPr>
          <w:rFonts w:hint="eastAsia" w:ascii="仿宋_GB2312"/>
          <w:szCs w:val="32"/>
        </w:rPr>
        <w:t>按照科学规范、公正公开、分级分类、绩效相关的评价原则，制定评价方案和评价指标体系，收集被评价项目的相关资料，对数据进行计算复核。在形成评价结论后，按照绩效评价工作要求认真、严谨、细致撰写绩效评价报告。</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（三）绩效评价工作过程</w:t>
      </w:r>
    </w:p>
    <w:p>
      <w:pPr>
        <w:keepNext w:val="0"/>
        <w:keepLines w:val="0"/>
        <w:pageBreakBefore w:val="0"/>
        <w:widowControl w:val="0"/>
        <w:shd w:val="clear" w:color="auto" w:fill="FFFFFF"/>
        <w:kinsoku/>
        <w:wordWrap/>
        <w:overflowPunct/>
        <w:autoSpaceDE/>
        <w:autoSpaceDN/>
        <w:bidi w:val="0"/>
        <w:adjustRightInd/>
        <w:snapToGrid/>
        <w:spacing w:after="0" w:line="560" w:lineRule="exact"/>
        <w:ind w:left="0" w:leftChars="0" w:right="0" w:rightChars="0" w:firstLine="632" w:firstLineChars="200"/>
        <w:textAlignment w:val="auto"/>
        <w:rPr>
          <w:rFonts w:ascii="仿宋_GB2312" w:hAnsi="仿宋" w:cs="宋体"/>
          <w:color w:val="333333"/>
          <w:szCs w:val="32"/>
        </w:rPr>
      </w:pPr>
      <w:r>
        <w:rPr>
          <w:rFonts w:hint="eastAsia" w:ascii="仿宋_GB2312" w:hAnsi="仿宋" w:cs="宋体"/>
          <w:color w:val="333333"/>
          <w:szCs w:val="32"/>
        </w:rPr>
        <w:t>1</w:t>
      </w:r>
      <w:r>
        <w:rPr>
          <w:rFonts w:hint="eastAsia" w:ascii="仿宋_GB2312" w:hAnsi="仿宋" w:cs="宋体"/>
          <w:color w:val="333333"/>
          <w:szCs w:val="32"/>
          <w:lang w:val="en-US" w:eastAsia="zh-CN"/>
        </w:rPr>
        <w:t>.</w:t>
      </w:r>
      <w:r>
        <w:rPr>
          <w:rFonts w:hint="eastAsia" w:ascii="仿宋_GB2312" w:hAnsi="仿宋" w:cs="宋体"/>
          <w:color w:val="333333"/>
          <w:szCs w:val="32"/>
        </w:rPr>
        <w:t>前期准备</w:t>
      </w:r>
    </w:p>
    <w:p>
      <w:pPr>
        <w:keepNext w:val="0"/>
        <w:keepLines w:val="0"/>
        <w:pageBreakBefore w:val="0"/>
        <w:widowControl w:val="0"/>
        <w:shd w:val="clear" w:color="auto" w:fill="FFFFFF"/>
        <w:kinsoku/>
        <w:wordWrap/>
        <w:overflowPunct/>
        <w:autoSpaceDE/>
        <w:autoSpaceDN/>
        <w:bidi w:val="0"/>
        <w:adjustRightInd/>
        <w:snapToGrid/>
        <w:spacing w:after="0" w:line="560" w:lineRule="exact"/>
        <w:ind w:left="0" w:leftChars="0" w:right="0" w:rightChars="0" w:firstLine="632" w:firstLineChars="200"/>
        <w:textAlignment w:val="auto"/>
        <w:rPr>
          <w:rFonts w:ascii="仿宋_GB2312" w:hAnsi="仿宋" w:cs="宋体"/>
          <w:color w:val="333333"/>
          <w:szCs w:val="32"/>
        </w:rPr>
      </w:pPr>
      <w:r>
        <w:rPr>
          <w:rFonts w:hint="eastAsia" w:ascii="仿宋_GB2312" w:hAnsi="仿宋"/>
          <w:szCs w:val="32"/>
        </w:rPr>
        <w:t>呈贡区住房和城乡建设局</w:t>
      </w:r>
      <w:r>
        <w:rPr>
          <w:rFonts w:hint="eastAsia" w:ascii="仿宋_GB2312" w:hAnsi="仿宋" w:cs="宋体"/>
          <w:color w:val="333333"/>
          <w:szCs w:val="32"/>
        </w:rPr>
        <w:t>负责做好项目的自评报告、资料、数据的收集整理、汇总，并按要求提交。</w:t>
      </w:r>
    </w:p>
    <w:p>
      <w:pPr>
        <w:keepNext w:val="0"/>
        <w:keepLines w:val="0"/>
        <w:pageBreakBefore w:val="0"/>
        <w:widowControl w:val="0"/>
        <w:shd w:val="clear" w:color="auto" w:fill="FFFFFF"/>
        <w:kinsoku/>
        <w:wordWrap/>
        <w:overflowPunct/>
        <w:autoSpaceDE/>
        <w:autoSpaceDN/>
        <w:bidi w:val="0"/>
        <w:adjustRightInd/>
        <w:snapToGrid/>
        <w:spacing w:after="0" w:line="560" w:lineRule="exact"/>
        <w:ind w:left="0" w:leftChars="0" w:right="0" w:rightChars="0" w:firstLine="632" w:firstLineChars="200"/>
        <w:textAlignment w:val="auto"/>
        <w:rPr>
          <w:rFonts w:ascii="仿宋_GB2312" w:hAnsi="仿宋" w:cs="宋体"/>
          <w:color w:val="333333"/>
          <w:szCs w:val="32"/>
        </w:rPr>
      </w:pPr>
      <w:r>
        <w:rPr>
          <w:rFonts w:hint="eastAsia" w:ascii="仿宋_GB2312" w:hAnsi="仿宋" w:cs="宋体"/>
          <w:color w:val="333333"/>
          <w:szCs w:val="32"/>
        </w:rPr>
        <w:t>2.组织实施</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rPr>
          <w:rFonts w:ascii="仿宋_GB2312" w:hAnsi="仿宋"/>
          <w:szCs w:val="32"/>
        </w:rPr>
      </w:pPr>
      <w:r>
        <w:rPr>
          <w:rFonts w:hint="eastAsia" w:ascii="仿宋_GB2312" w:hAnsi="仿宋"/>
          <w:szCs w:val="32"/>
        </w:rPr>
        <w:t>为切实提高财政资金使用效益，全面推进部门预算绩效管理工作，我局加强领导，高度重视，成立呈贡区住房和城乡建设局预算绩效管理工作协调小组，</w:t>
      </w:r>
      <w:r>
        <w:rPr>
          <w:rFonts w:hint="eastAsia" w:ascii="仿宋_GB2312" w:hAnsi="仿宋" w:cs="宋体"/>
          <w:color w:val="333333"/>
          <w:szCs w:val="32"/>
        </w:rPr>
        <w:t>项目组成员通过QQ、电话等方式搜集项目决策、项目管理、项目绩效结果的相关文件、数据及资料；与相关人员了解并核实项目的实施情况。结合自评工作情况，得出项目实施自评分，并撰写出项目绩效自评报告。</w:t>
      </w:r>
    </w:p>
    <w:p>
      <w:pPr>
        <w:keepNext w:val="0"/>
        <w:keepLines w:val="0"/>
        <w:pageBreakBefore w:val="0"/>
        <w:widowControl w:val="0"/>
        <w:shd w:val="clear" w:color="auto" w:fill="FFFFFF"/>
        <w:kinsoku/>
        <w:wordWrap/>
        <w:overflowPunct/>
        <w:autoSpaceDE/>
        <w:autoSpaceDN/>
        <w:bidi w:val="0"/>
        <w:adjustRightInd/>
        <w:snapToGrid/>
        <w:spacing w:after="0" w:line="560" w:lineRule="exact"/>
        <w:ind w:left="0" w:leftChars="0" w:right="0" w:rightChars="0" w:firstLine="641"/>
        <w:textAlignment w:val="auto"/>
        <w:rPr>
          <w:rFonts w:ascii="仿宋_GB2312" w:hAnsi="仿宋" w:cs="宋体"/>
          <w:color w:val="333333"/>
          <w:szCs w:val="32"/>
        </w:rPr>
      </w:pPr>
      <w:r>
        <w:rPr>
          <w:rFonts w:hint="eastAsia" w:ascii="仿宋_GB2312" w:hAnsi="仿宋" w:cs="宋体"/>
          <w:color w:val="333333"/>
          <w:szCs w:val="32"/>
        </w:rPr>
        <w:t>3.分析评价</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45"/>
        <w:textAlignment w:val="auto"/>
        <w:rPr>
          <w:rFonts w:ascii="仿宋_GB2312" w:hAnsi="仿宋"/>
          <w:b/>
          <w:szCs w:val="32"/>
        </w:rPr>
      </w:pPr>
      <w:r>
        <w:rPr>
          <w:rFonts w:hint="eastAsia" w:ascii="仿宋_GB2312" w:hAnsi="仿宋" w:cs="宋体"/>
          <w:color w:val="333333"/>
          <w:szCs w:val="32"/>
        </w:rPr>
        <w:t>在领导小组的正确领导下，项目得以正常推进。项目实施过程中，项目依法依规，按照基本程序进行，保障了项目资金效益最大化。项目完成后，</w:t>
      </w:r>
      <w:r>
        <w:rPr>
          <w:rFonts w:hint="eastAsia" w:ascii="仿宋_GB2312"/>
          <w:szCs w:val="32"/>
        </w:rPr>
        <w:t>对项目的实施情况逐项进行分析，总结好的经验和做法，对效益不好、实施实施过程中发现的问题，提出整改方案，限期整改。在此基础上，对整个项目的实施情况作出总体评价。</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4" w:firstLineChars="200"/>
        <w:textAlignment w:val="auto"/>
        <w:rPr>
          <w:rFonts w:hint="eastAsia" w:ascii="黑体" w:hAnsi="黑体" w:eastAsia="黑体" w:cs="黑体"/>
          <w:b w:val="0"/>
          <w:bCs/>
          <w:szCs w:val="32"/>
        </w:rPr>
      </w:pPr>
      <w:r>
        <w:rPr>
          <w:rFonts w:hint="eastAsia" w:ascii="黑体" w:hAnsi="黑体" w:eastAsia="黑体" w:cs="黑体"/>
          <w:b w:val="0"/>
          <w:bCs/>
          <w:szCs w:val="32"/>
        </w:rPr>
        <w:t>四、绩效评价指标分析情况</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（一）项目资金情况分析。</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outlineLvl w:val="0"/>
        <w:rPr>
          <w:rFonts w:ascii="仿宋_GB2312"/>
          <w:szCs w:val="32"/>
        </w:rPr>
      </w:pPr>
      <w:r>
        <w:rPr>
          <w:rFonts w:hint="eastAsia" w:ascii="仿宋_GB2312"/>
          <w:szCs w:val="32"/>
        </w:rPr>
        <w:t>1.项目资金到位情况分析。</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rPr>
          <w:rFonts w:ascii="仿宋_GB2312" w:hAnsi="仿宋_GB2312" w:cs="仿宋_GB2312"/>
          <w:szCs w:val="32"/>
        </w:rPr>
      </w:pPr>
      <w:r>
        <w:rPr>
          <w:rFonts w:hint="eastAsia" w:ascii="仿宋_GB2312" w:hAnsi="仿宋"/>
          <w:szCs w:val="32"/>
        </w:rPr>
        <w:t>按照呈政复[2016]13号《轨道交通4号线（呈贡段）土地房屋征收补偿方案》文件规定，2019年收到财政安排上年交回财政统筹资金</w:t>
      </w:r>
      <w:r>
        <w:rPr>
          <w:rFonts w:ascii="仿宋_GB2312" w:hAnsi="仿宋" w:cs="仿宋"/>
          <w:color w:val="000000"/>
          <w:szCs w:val="32"/>
        </w:rPr>
        <w:t>168729.78</w:t>
      </w:r>
      <w:r>
        <w:rPr>
          <w:rFonts w:hint="eastAsia" w:ascii="仿宋_GB2312" w:hAnsi="仿宋"/>
          <w:szCs w:val="32"/>
        </w:rPr>
        <w:t>元，用于昆明轨道交通四号线征地拆迁补偿，年未结转和结余0万元。项目名称：</w:t>
      </w:r>
      <w:r>
        <w:rPr>
          <w:rFonts w:hint="eastAsia" w:ascii="仿宋_GB2312" w:hAnsi="仿宋" w:cs="仿宋"/>
          <w:color w:val="000000"/>
          <w:szCs w:val="32"/>
        </w:rPr>
        <w:t>昆明轨道交通四号线征地拆迁资金</w:t>
      </w:r>
      <w:r>
        <w:rPr>
          <w:rFonts w:hint="eastAsia" w:ascii="仿宋_GB2312" w:hAnsi="仿宋"/>
          <w:szCs w:val="32"/>
        </w:rPr>
        <w:t>，支出功能分类科目编码：2140299。</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outlineLvl w:val="0"/>
        <w:rPr>
          <w:rFonts w:ascii="仿宋_GB2312"/>
          <w:szCs w:val="32"/>
        </w:rPr>
      </w:pPr>
      <w:r>
        <w:rPr>
          <w:rFonts w:hint="eastAsia" w:ascii="仿宋_GB2312"/>
          <w:szCs w:val="32"/>
        </w:rPr>
        <w:t>2.项目资金使用情况分析。</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rPr>
          <w:rFonts w:ascii="仿宋_GB2312" w:hAnsi="仿宋"/>
          <w:szCs w:val="32"/>
        </w:rPr>
      </w:pPr>
      <w:r>
        <w:rPr>
          <w:rFonts w:hint="eastAsia" w:ascii="仿宋_GB2312" w:hAnsi="仿宋_GB2312" w:cs="仿宋_GB2312"/>
          <w:szCs w:val="32"/>
        </w:rPr>
        <w:t>2019年完成</w:t>
      </w:r>
      <w:r>
        <w:rPr>
          <w:rFonts w:hint="eastAsia" w:ascii="仿宋_GB2312" w:hAnsi="仿宋" w:cs="仿宋"/>
          <w:color w:val="000000"/>
          <w:szCs w:val="32"/>
        </w:rPr>
        <w:t>昆明轨道交通4号线（呈贡段）征地拆迁补偿</w:t>
      </w:r>
      <w:r>
        <w:rPr>
          <w:rFonts w:ascii="仿宋_GB2312" w:hAnsi="仿宋" w:cs="仿宋"/>
          <w:color w:val="000000"/>
          <w:szCs w:val="32"/>
        </w:rPr>
        <w:t>168729.78</w:t>
      </w:r>
      <w:r>
        <w:rPr>
          <w:rFonts w:hint="eastAsia" w:ascii="仿宋_GB2312" w:hAnsi="仿宋" w:cs="仿宋"/>
          <w:color w:val="000000"/>
          <w:szCs w:val="32"/>
        </w:rPr>
        <w:t>元，</w:t>
      </w:r>
      <w:r>
        <w:rPr>
          <w:rFonts w:hint="eastAsia" w:ascii="仿宋_GB2312" w:hAnsi="仿宋"/>
          <w:szCs w:val="32"/>
        </w:rPr>
        <w:t>其中：</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outlineLvl w:val="0"/>
        <w:rPr>
          <w:rFonts w:ascii="仿宋_GB2312" w:hAnsi="仿宋"/>
          <w:szCs w:val="32"/>
        </w:rPr>
      </w:pPr>
      <w:r>
        <w:rPr>
          <w:rFonts w:hint="eastAsia" w:ascii="仿宋_GB2312" w:hAnsi="仿宋"/>
          <w:szCs w:val="32"/>
        </w:rPr>
        <w:t>（1）拨给斗南街道</w:t>
      </w:r>
      <w:r>
        <w:rPr>
          <w:rFonts w:hint="eastAsia" w:ascii="仿宋_GB2312" w:hAnsi="仿宋" w:cs="仿宋"/>
          <w:color w:val="000000"/>
          <w:szCs w:val="32"/>
        </w:rPr>
        <w:t>昆明轨道交通4号线（斗南站）项目涉及殷联社区八组集体公房搬迁</w:t>
      </w:r>
      <w:r>
        <w:rPr>
          <w:rFonts w:hint="eastAsia" w:ascii="仿宋_GB2312" w:hAnsi="仿宋"/>
          <w:szCs w:val="32"/>
        </w:rPr>
        <w:t>补偿款</w:t>
      </w:r>
      <w:r>
        <w:rPr>
          <w:rFonts w:ascii="仿宋_GB2312" w:hAnsi="仿宋"/>
          <w:szCs w:val="32"/>
        </w:rPr>
        <w:t>120929.7</w:t>
      </w:r>
      <w:r>
        <w:rPr>
          <w:rFonts w:hint="eastAsia" w:ascii="仿宋_GB2312" w:hAnsi="仿宋"/>
          <w:szCs w:val="32"/>
        </w:rPr>
        <w:t>元；</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outlineLvl w:val="0"/>
        <w:rPr>
          <w:rFonts w:ascii="仿宋_GB2312" w:hAnsi="仿宋"/>
          <w:szCs w:val="32"/>
        </w:rPr>
      </w:pPr>
      <w:r>
        <w:rPr>
          <w:rFonts w:hint="eastAsia" w:ascii="仿宋_GB2312" w:hAnsi="仿宋"/>
          <w:szCs w:val="32"/>
        </w:rPr>
        <w:t>（2）拨给斗南街道</w:t>
      </w:r>
      <w:r>
        <w:rPr>
          <w:rFonts w:hint="eastAsia" w:ascii="仿宋_GB2312" w:hAnsi="仿宋" w:cs="仿宋"/>
          <w:color w:val="000000"/>
          <w:szCs w:val="32"/>
        </w:rPr>
        <w:t>昆明轨道交通4号线呈贡东站项目涉及杨德户所属建构筑物及附属设施拆迁</w:t>
      </w:r>
      <w:r>
        <w:rPr>
          <w:rFonts w:hint="eastAsia" w:ascii="仿宋_GB2312" w:hAnsi="仿宋"/>
          <w:szCs w:val="32"/>
        </w:rPr>
        <w:t>补偿款</w:t>
      </w:r>
      <w:r>
        <w:rPr>
          <w:rFonts w:ascii="仿宋_GB2312" w:hAnsi="仿宋"/>
          <w:szCs w:val="32"/>
        </w:rPr>
        <w:t>47800.08</w:t>
      </w:r>
      <w:r>
        <w:rPr>
          <w:rFonts w:hint="eastAsia" w:ascii="仿宋_GB2312" w:hAnsi="仿宋"/>
          <w:szCs w:val="32"/>
        </w:rPr>
        <w:t>元；</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outlineLvl w:val="0"/>
        <w:rPr>
          <w:rFonts w:ascii="仿宋_GB2312"/>
          <w:szCs w:val="32"/>
        </w:rPr>
      </w:pPr>
      <w:r>
        <w:rPr>
          <w:rFonts w:hint="eastAsia" w:ascii="仿宋_GB2312"/>
          <w:szCs w:val="32"/>
        </w:rPr>
        <w:t>3.项目资金管理情况分析。</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outlineLvl w:val="0"/>
        <w:rPr>
          <w:rFonts w:ascii="仿宋_GB2312"/>
          <w:szCs w:val="32"/>
        </w:rPr>
      </w:pPr>
      <w:r>
        <w:rPr>
          <w:rFonts w:hint="eastAsia" w:ascii="仿宋_GB2312"/>
          <w:szCs w:val="32"/>
        </w:rPr>
        <w:t>严格账务处理和核算，强化内部监督，规范机关财务行为，做到了资金拨付有完整的审批程序和专款专用。</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（二）项目实施情况分析。</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outlineLvl w:val="0"/>
        <w:rPr>
          <w:rFonts w:ascii="仿宋_GB2312"/>
          <w:szCs w:val="32"/>
        </w:rPr>
      </w:pPr>
      <w:r>
        <w:rPr>
          <w:rFonts w:hint="eastAsia" w:ascii="仿宋_GB2312"/>
          <w:szCs w:val="32"/>
        </w:rPr>
        <w:t>1.项目组织情况分析。</w:t>
      </w:r>
    </w:p>
    <w:p>
      <w:pPr>
        <w:keepNext w:val="0"/>
        <w:keepLines w:val="0"/>
        <w:pageBreakBefore w:val="0"/>
        <w:widowControl w:val="0"/>
        <w:kinsoku/>
        <w:wordWrap/>
        <w:overflowPunct/>
        <w:topLinePunct/>
        <w:autoSpaceDE/>
        <w:autoSpaceDN/>
        <w:bidi w:val="0"/>
        <w:adjustRightInd/>
        <w:snapToGrid/>
        <w:spacing w:after="0" w:line="560" w:lineRule="exact"/>
        <w:ind w:left="0" w:leftChars="0" w:right="0" w:rightChars="0" w:firstLine="632" w:firstLineChars="200"/>
        <w:textAlignment w:val="auto"/>
        <w:rPr>
          <w:rFonts w:ascii="仿宋_GB2312" w:hAnsi="仿宋" w:cs="仿宋"/>
          <w:color w:val="000000"/>
          <w:szCs w:val="32"/>
        </w:rPr>
      </w:pPr>
      <w:r>
        <w:rPr>
          <w:rFonts w:hint="eastAsia" w:ascii="仿宋_GB2312" w:hAnsi="仿宋" w:cs="仿宋"/>
          <w:color w:val="000000"/>
          <w:szCs w:val="32"/>
        </w:rPr>
        <w:t>按照征地拆迁补偿标准进行补偿，完成全部财政预算安排资金，不超范围、超预算支出。按时完成征地拆迁工作，保障施工项目顺利进行,创造良好的投资环境。</w:t>
      </w:r>
    </w:p>
    <w:p>
      <w:pPr>
        <w:keepNext w:val="0"/>
        <w:keepLines w:val="0"/>
        <w:pageBreakBefore w:val="0"/>
        <w:widowControl w:val="0"/>
        <w:kinsoku/>
        <w:wordWrap/>
        <w:overflowPunct/>
        <w:topLinePunct/>
        <w:autoSpaceDE/>
        <w:autoSpaceDN/>
        <w:bidi w:val="0"/>
        <w:adjustRightInd/>
        <w:snapToGrid/>
        <w:spacing w:after="0" w:line="560" w:lineRule="exact"/>
        <w:ind w:left="0" w:leftChars="0" w:right="0" w:rightChars="0" w:firstLine="632" w:firstLineChars="200"/>
        <w:textAlignment w:val="auto"/>
        <w:rPr>
          <w:rFonts w:ascii="仿宋_GB2312" w:hAnsi="仿宋_GB2312" w:cs="仿宋_GB2312"/>
          <w:szCs w:val="32"/>
        </w:rPr>
      </w:pPr>
      <w:r>
        <w:rPr>
          <w:rFonts w:hint="eastAsia" w:ascii="仿宋_GB2312" w:hAnsi="仿宋_GB2312" w:cs="仿宋_GB2312"/>
          <w:szCs w:val="32"/>
        </w:rPr>
        <w:t>项目完成后，对项目的实施情况逐项进行分析，总结好的经验和做法，对效益不好、实施过程中发现的问题，提出整改方案，限期整改。在此基础上，对整个项目的实施情况作出总体评价。结合自评工作情况，得出项目实施自评分，并撰写出项目绩效自评报告。</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outlineLvl w:val="0"/>
        <w:rPr>
          <w:rFonts w:ascii="仿宋_GB2312"/>
          <w:szCs w:val="32"/>
        </w:rPr>
      </w:pPr>
      <w:r>
        <w:rPr>
          <w:rFonts w:hint="eastAsia" w:ascii="仿宋_GB2312"/>
          <w:szCs w:val="32"/>
        </w:rPr>
        <w:t>2.项目管理情况分析。</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outlineLvl w:val="0"/>
        <w:rPr>
          <w:rFonts w:ascii="仿宋_GB2312" w:hAnsi="仿宋"/>
          <w:szCs w:val="32"/>
        </w:rPr>
      </w:pPr>
      <w:r>
        <w:rPr>
          <w:rFonts w:hint="eastAsia" w:ascii="仿宋_GB2312" w:hAnsi="仿宋"/>
          <w:szCs w:val="32"/>
        </w:rPr>
        <w:t>呈贡区住房和城乡建设局</w:t>
      </w:r>
      <w:r>
        <w:rPr>
          <w:rFonts w:hint="eastAsia" w:ascii="仿宋_GB2312" w:hAnsi="仿宋_GB2312" w:cs="仿宋_GB2312"/>
          <w:szCs w:val="32"/>
        </w:rPr>
        <w:t>加强领导，高度重视，成立呈贡区住房和城乡建设局预算绩效管理工作协调小组，结合我局实际制定修改完善《呈贡区住房和城乡建设局财务管理制度》，建立健全项目管理、财务管理、资产管理、绩效跟踪管理办法等内部控制制度。对</w:t>
      </w:r>
      <w:r>
        <w:rPr>
          <w:rFonts w:hint="eastAsia" w:ascii="仿宋_GB2312" w:hAnsi="仿宋"/>
          <w:szCs w:val="32"/>
        </w:rPr>
        <w:t>2019年昆明轨道交通四号线征地拆迁资金按行政管辖属地原则，采取自上而下的方式申报，并按照财务审批程序下达补助资金，确保了各项经费、资金的合理使用，资金使用用途正确、支出合规合法，未发现资金挪用、截留、挤占现象。</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outlineLvl w:val="0"/>
        <w:rPr>
          <w:rFonts w:ascii="仿宋_GB2312"/>
          <w:szCs w:val="32"/>
        </w:rPr>
      </w:pPr>
      <w:r>
        <w:rPr>
          <w:rFonts w:hint="eastAsia" w:ascii="楷体_GB2312" w:hAnsi="楷体_GB2312" w:eastAsia="楷体_GB2312" w:cs="楷体_GB2312"/>
          <w:szCs w:val="32"/>
        </w:rPr>
        <w:t>（三）项目绩效情况分析。</w:t>
      </w:r>
    </w:p>
    <w:p>
      <w:pPr>
        <w:keepNext w:val="0"/>
        <w:keepLines w:val="0"/>
        <w:pageBreakBefore w:val="0"/>
        <w:widowControl w:val="0"/>
        <w:kinsoku/>
        <w:wordWrap/>
        <w:overflowPunct/>
        <w:topLinePunct/>
        <w:autoSpaceDE/>
        <w:autoSpaceDN/>
        <w:bidi w:val="0"/>
        <w:adjustRightInd/>
        <w:snapToGrid/>
        <w:spacing w:after="0" w:line="560" w:lineRule="exact"/>
        <w:ind w:left="0" w:leftChars="0" w:right="0" w:rightChars="0" w:firstLine="632" w:firstLineChars="200"/>
        <w:textAlignment w:val="auto"/>
        <w:rPr>
          <w:rFonts w:ascii="仿宋_GB2312"/>
          <w:szCs w:val="32"/>
        </w:rPr>
      </w:pPr>
      <w:r>
        <w:rPr>
          <w:rFonts w:hint="eastAsia" w:ascii="仿宋_GB2312"/>
          <w:szCs w:val="32"/>
        </w:rPr>
        <w:t>1</w:t>
      </w:r>
      <w:r>
        <w:rPr>
          <w:rFonts w:hint="eastAsia" w:ascii="仿宋_GB2312"/>
          <w:szCs w:val="32"/>
          <w:lang w:val="en-US" w:eastAsia="zh-CN"/>
        </w:rPr>
        <w:t>.</w:t>
      </w:r>
      <w:r>
        <w:rPr>
          <w:rFonts w:hint="eastAsia" w:ascii="仿宋_GB2312"/>
          <w:szCs w:val="32"/>
        </w:rPr>
        <w:t>项目经济性分析</w:t>
      </w:r>
    </w:p>
    <w:p>
      <w:pPr>
        <w:keepNext w:val="0"/>
        <w:keepLines w:val="0"/>
        <w:pageBreakBefore w:val="0"/>
        <w:widowControl w:val="0"/>
        <w:shd w:val="clear" w:color="auto" w:fill="FFFFFF"/>
        <w:kinsoku/>
        <w:wordWrap/>
        <w:overflowPunct/>
        <w:autoSpaceDE/>
        <w:autoSpaceDN/>
        <w:bidi w:val="0"/>
        <w:adjustRightInd/>
        <w:snapToGrid/>
        <w:spacing w:after="0" w:line="560" w:lineRule="exact"/>
        <w:ind w:left="0" w:leftChars="0" w:right="0" w:rightChars="0" w:firstLine="641"/>
        <w:textAlignment w:val="auto"/>
        <w:rPr>
          <w:rFonts w:ascii="仿宋_GB2312" w:hAnsi="仿宋" w:cs="宋体"/>
          <w:color w:val="333333"/>
          <w:szCs w:val="32"/>
        </w:rPr>
      </w:pPr>
      <w:r>
        <w:rPr>
          <w:rFonts w:hint="eastAsia" w:ascii="仿宋_GB2312" w:hAnsi="仿宋" w:cs="宋体"/>
          <w:color w:val="333333"/>
          <w:szCs w:val="32"/>
        </w:rPr>
        <w:t>在项目实施过程中，加强成本控制，本着厉行节约的原则，严格规范各项开支，项目资金使用符合预算要求。</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outlineLvl w:val="0"/>
        <w:rPr>
          <w:rFonts w:ascii="仿宋_GB2312"/>
          <w:szCs w:val="32"/>
        </w:rPr>
      </w:pPr>
      <w:r>
        <w:rPr>
          <w:rFonts w:ascii="仿宋_GB2312"/>
          <w:szCs w:val="32"/>
        </w:rPr>
        <w:t>2.</w:t>
      </w:r>
      <w:r>
        <w:rPr>
          <w:rFonts w:hint="eastAsia" w:ascii="仿宋_GB2312"/>
          <w:szCs w:val="32"/>
        </w:rPr>
        <w:t>项目的效率性分析</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rPr>
          <w:rFonts w:ascii="仿宋_GB2312" w:hAnsi="仿宋_GB2312" w:cs="仿宋_GB2312"/>
          <w:szCs w:val="32"/>
        </w:rPr>
      </w:pPr>
      <w:r>
        <w:rPr>
          <w:rFonts w:hint="eastAsia" w:ascii="仿宋_GB2312" w:hAnsi="仿宋" w:cs="仿宋"/>
          <w:color w:val="000000"/>
          <w:szCs w:val="32"/>
        </w:rPr>
        <w:t>昆明轨道交通4号线（呈贡段）</w:t>
      </w:r>
      <w:r>
        <w:rPr>
          <w:rFonts w:hint="eastAsia" w:ascii="仿宋_GB2312" w:hAnsi="仿宋_GB2312" w:cs="仿宋_GB2312"/>
          <w:szCs w:val="32"/>
        </w:rPr>
        <w:t>2019年</w:t>
      </w:r>
      <w:r>
        <w:rPr>
          <w:rFonts w:hint="eastAsia" w:ascii="仿宋_GB2312" w:hAnsi="仿宋" w:cs="仿宋"/>
          <w:color w:val="000000"/>
          <w:szCs w:val="32"/>
        </w:rPr>
        <w:t>征地拆迁补偿</w:t>
      </w:r>
      <w:r>
        <w:rPr>
          <w:rFonts w:hint="eastAsia" w:ascii="仿宋_GB2312" w:hAnsi="仿宋_GB2312" w:cs="仿宋_GB2312"/>
          <w:szCs w:val="32"/>
        </w:rPr>
        <w:t>支出</w:t>
      </w:r>
      <w:r>
        <w:rPr>
          <w:rFonts w:ascii="仿宋_GB2312" w:hAnsi="仿宋" w:cs="仿宋"/>
          <w:color w:val="000000"/>
          <w:szCs w:val="32"/>
        </w:rPr>
        <w:t>168729.78</w:t>
      </w:r>
      <w:r>
        <w:rPr>
          <w:rFonts w:hint="eastAsia" w:ascii="仿宋_GB2312" w:hAnsi="仿宋" w:cs="仿宋"/>
          <w:color w:val="000000"/>
          <w:szCs w:val="32"/>
        </w:rPr>
        <w:t>元</w:t>
      </w:r>
      <w:r>
        <w:rPr>
          <w:rFonts w:hint="eastAsia" w:ascii="仿宋_GB2312" w:hAnsi="仿宋_GB2312" w:cs="仿宋_GB2312"/>
          <w:szCs w:val="32"/>
        </w:rPr>
        <w:t>，</w:t>
      </w:r>
      <w:r>
        <w:rPr>
          <w:rFonts w:hint="eastAsia" w:ascii="仿宋_GB2312" w:hAnsi="仿宋"/>
          <w:szCs w:val="32"/>
        </w:rPr>
        <w:t>按照征地拆迁补偿标准进行补偿，依法依规完成征地拆迁工作，完成全部财政预算安排资金，不超范围、超预算支出。</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outlineLvl w:val="0"/>
        <w:rPr>
          <w:rFonts w:ascii="仿宋_GB2312"/>
          <w:szCs w:val="32"/>
        </w:rPr>
      </w:pPr>
      <w:r>
        <w:rPr>
          <w:rFonts w:ascii="仿宋_GB2312"/>
          <w:szCs w:val="32"/>
        </w:rPr>
        <w:t>3.</w:t>
      </w:r>
      <w:r>
        <w:rPr>
          <w:rFonts w:hint="eastAsia" w:ascii="仿宋_GB2312"/>
          <w:szCs w:val="32"/>
        </w:rPr>
        <w:t>项目的效益性分析</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outlineLvl w:val="0"/>
        <w:rPr>
          <w:rFonts w:ascii="仿宋_GB2312"/>
          <w:szCs w:val="32"/>
        </w:rPr>
      </w:pPr>
      <w:r>
        <w:rPr>
          <w:rFonts w:hint="eastAsia" w:ascii="仿宋_GB2312" w:hAnsi="仿宋"/>
          <w:szCs w:val="32"/>
        </w:rPr>
        <w:t>通过征地拆迁改造，拉动新区城市基础设施建设投资需求，刺激居民消费，增加社会总需求，带动新区商业和生产的发展。改善拆迁群众的居住环境，提高居住的生活水平。</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4" w:firstLineChars="200"/>
        <w:textAlignment w:val="auto"/>
        <w:rPr>
          <w:rFonts w:ascii="仿宋_GB2312"/>
          <w:b/>
          <w:szCs w:val="32"/>
        </w:rPr>
      </w:pPr>
      <w:r>
        <w:rPr>
          <w:rFonts w:hint="eastAsia" w:ascii="黑体" w:hAnsi="黑体" w:eastAsia="黑体" w:cs="黑体"/>
          <w:b w:val="0"/>
          <w:bCs/>
          <w:szCs w:val="32"/>
        </w:rPr>
        <w:t>五、综合评价情况及评价结论</w:t>
      </w:r>
      <w:r>
        <w:rPr>
          <w:rFonts w:hint="eastAsia" w:ascii="仿宋_GB2312"/>
          <w:bCs/>
          <w:szCs w:val="32"/>
        </w:rPr>
        <w:t>（附相关评分表）</w:t>
      </w:r>
      <w:r>
        <w:rPr>
          <w:rFonts w:hint="eastAsia" w:ascii="仿宋_GB2312"/>
          <w:b/>
          <w:szCs w:val="32"/>
        </w:rPr>
        <w:t>。</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rPr>
          <w:rFonts w:ascii="仿宋_GB2312"/>
          <w:szCs w:val="32"/>
        </w:rPr>
      </w:pPr>
      <w:r>
        <w:rPr>
          <w:rFonts w:hint="eastAsia" w:ascii="仿宋_GB2312"/>
          <w:szCs w:val="32"/>
        </w:rPr>
        <w:t>通过开展自评，在项目实施过程中，没有出现擅自扩大或改变资金用途的情况发生，在资金管理上，对项目资金专户管理，专款专用，没有出现违规违纪情况。该项目自评得分97分，自我评价为优。</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4" w:firstLineChars="200"/>
        <w:textAlignment w:val="auto"/>
        <w:rPr>
          <w:rFonts w:hint="eastAsia" w:ascii="黑体" w:hAnsi="黑体" w:eastAsia="黑体" w:cs="黑体"/>
          <w:b w:val="0"/>
          <w:bCs/>
          <w:szCs w:val="32"/>
        </w:rPr>
      </w:pPr>
      <w:r>
        <w:rPr>
          <w:rFonts w:hint="eastAsia" w:ascii="黑体" w:hAnsi="黑体" w:eastAsia="黑体" w:cs="黑体"/>
          <w:b w:val="0"/>
          <w:bCs/>
          <w:szCs w:val="32"/>
        </w:rPr>
        <w:t>六、绩效评价结果应用建议</w:t>
      </w:r>
    </w:p>
    <w:p>
      <w:pPr>
        <w:keepNext w:val="0"/>
        <w:keepLines w:val="0"/>
        <w:pageBreakBefore w:val="0"/>
        <w:widowControl w:val="0"/>
        <w:kinsoku/>
        <w:wordWrap/>
        <w:overflowPunct/>
        <w:topLinePunct/>
        <w:autoSpaceDE/>
        <w:autoSpaceDN/>
        <w:bidi w:val="0"/>
        <w:adjustRightInd/>
        <w:snapToGrid/>
        <w:spacing w:after="0" w:line="560" w:lineRule="exact"/>
        <w:ind w:left="0" w:leftChars="0" w:right="0" w:rightChars="0" w:firstLine="632" w:firstLineChars="200"/>
        <w:textAlignment w:val="auto"/>
        <w:rPr>
          <w:rFonts w:ascii="仿宋_GB2312" w:hAnsi="仿宋"/>
          <w:szCs w:val="32"/>
        </w:rPr>
      </w:pPr>
      <w:r>
        <w:rPr>
          <w:rFonts w:hint="eastAsia" w:ascii="仿宋_GB2312"/>
          <w:szCs w:val="32"/>
        </w:rPr>
        <w:t>通过开展绩效评价结果表明，</w:t>
      </w:r>
      <w:r>
        <w:rPr>
          <w:rFonts w:hint="eastAsia" w:ascii="仿宋_GB2312" w:hAnsi="仿宋"/>
          <w:szCs w:val="32"/>
        </w:rPr>
        <w:t>通过</w:t>
      </w:r>
      <w:r>
        <w:rPr>
          <w:rFonts w:hint="eastAsia" w:ascii="仿宋_GB2312"/>
          <w:szCs w:val="32"/>
        </w:rPr>
        <w:t>拆迁补偿</w:t>
      </w:r>
      <w:r>
        <w:rPr>
          <w:rFonts w:hint="eastAsia" w:ascii="仿宋_GB2312" w:hAnsi="仿宋"/>
          <w:szCs w:val="32"/>
        </w:rPr>
        <w:t>，加快基础设施建设，拉动新区城市基础设施建设投资需求，带动新区商业和生产的发展，改善拆迁群众的居住环境，提高居住的生活水平，方便市民出行，创造了良好的投资环境。</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4" w:firstLineChars="200"/>
        <w:textAlignment w:val="auto"/>
        <w:rPr>
          <w:rFonts w:hint="eastAsia" w:ascii="黑体" w:hAnsi="黑体" w:eastAsia="黑体" w:cs="黑体"/>
          <w:b w:val="0"/>
          <w:bCs/>
          <w:szCs w:val="32"/>
        </w:rPr>
      </w:pPr>
      <w:r>
        <w:rPr>
          <w:rFonts w:hint="eastAsia" w:ascii="黑体" w:hAnsi="黑体" w:eastAsia="黑体" w:cs="黑体"/>
          <w:b w:val="0"/>
          <w:bCs/>
          <w:szCs w:val="32"/>
        </w:rPr>
        <w:t>七、主要经验及做法、存在的问题和建议</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（一）主要经验及做法</w:t>
      </w:r>
    </w:p>
    <w:p>
      <w:pPr>
        <w:keepNext w:val="0"/>
        <w:keepLines w:val="0"/>
        <w:pageBreakBefore w:val="0"/>
        <w:widowControl w:val="0"/>
        <w:kinsoku/>
        <w:wordWrap/>
        <w:overflowPunct/>
        <w:topLinePunct/>
        <w:autoSpaceDE/>
        <w:autoSpaceDN/>
        <w:bidi w:val="0"/>
        <w:adjustRightInd/>
        <w:snapToGrid/>
        <w:spacing w:after="0" w:line="560" w:lineRule="exact"/>
        <w:ind w:left="0" w:leftChars="0" w:right="0" w:rightChars="0" w:firstLine="632" w:firstLineChars="200"/>
        <w:textAlignment w:val="auto"/>
        <w:rPr>
          <w:color w:val="333333"/>
          <w:shd w:val="clear" w:color="auto" w:fill="FFFFFF"/>
        </w:rPr>
      </w:pPr>
      <w:r>
        <w:rPr>
          <w:rFonts w:hint="eastAsia"/>
          <w:color w:val="333333"/>
          <w:shd w:val="clear" w:color="auto" w:fill="FFFFFF"/>
        </w:rPr>
        <w:t>1</w:t>
      </w:r>
      <w:r>
        <w:rPr>
          <w:rFonts w:hint="eastAsia"/>
          <w:color w:val="333333"/>
          <w:shd w:val="clear" w:color="auto" w:fill="FFFFFF"/>
          <w:lang w:val="en-US" w:eastAsia="zh-CN"/>
        </w:rPr>
        <w:t>.</w:t>
      </w:r>
      <w:r>
        <w:rPr>
          <w:rFonts w:hint="eastAsia"/>
          <w:color w:val="333333"/>
          <w:shd w:val="clear" w:color="auto" w:fill="FFFFFF"/>
        </w:rPr>
        <w:t>严格执行财务管理制度，规范会计核算。</w:t>
      </w:r>
    </w:p>
    <w:p>
      <w:pPr>
        <w:keepNext w:val="0"/>
        <w:keepLines w:val="0"/>
        <w:pageBreakBefore w:val="0"/>
        <w:widowControl w:val="0"/>
        <w:kinsoku/>
        <w:wordWrap/>
        <w:overflowPunct/>
        <w:topLinePunct/>
        <w:autoSpaceDE/>
        <w:autoSpaceDN/>
        <w:bidi w:val="0"/>
        <w:adjustRightInd/>
        <w:snapToGrid/>
        <w:spacing w:after="0" w:line="560" w:lineRule="exact"/>
        <w:ind w:left="0" w:leftChars="0" w:right="0" w:rightChars="0" w:firstLine="632" w:firstLineChars="200"/>
        <w:textAlignment w:val="auto"/>
        <w:rPr>
          <w:color w:val="333333"/>
          <w:shd w:val="clear" w:color="auto" w:fill="FFFFFF"/>
        </w:rPr>
      </w:pPr>
      <w:r>
        <w:rPr>
          <w:rFonts w:hint="eastAsia"/>
          <w:color w:val="333333"/>
          <w:shd w:val="clear" w:color="auto" w:fill="FFFFFF"/>
        </w:rPr>
        <w:t>2</w:t>
      </w:r>
      <w:r>
        <w:rPr>
          <w:rFonts w:hint="eastAsia"/>
          <w:color w:val="333333"/>
          <w:shd w:val="clear" w:color="auto" w:fill="FFFFFF"/>
          <w:lang w:val="en-US" w:eastAsia="zh-CN"/>
        </w:rPr>
        <w:t>.</w:t>
      </w:r>
      <w:r>
        <w:rPr>
          <w:rFonts w:hint="eastAsia"/>
          <w:color w:val="333333"/>
          <w:shd w:val="clear" w:color="auto" w:fill="FFFFFF"/>
        </w:rPr>
        <w:t>定期公布预算资金执行进度，确保资金按预算执行。</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（二）存在的问题</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rPr>
          <w:rFonts w:ascii="仿宋_GB2312"/>
          <w:szCs w:val="32"/>
        </w:rPr>
      </w:pPr>
      <w:r>
        <w:rPr>
          <w:rFonts w:hint="eastAsia" w:ascii="仿宋_GB2312"/>
          <w:szCs w:val="32"/>
        </w:rPr>
        <w:t>部门本年度预算数与实际支出数出现偏差。</w:t>
      </w:r>
      <w:r>
        <w:rPr>
          <w:rFonts w:hint="eastAsia" w:ascii="仿宋_GB2312" w:hAnsi="仿宋"/>
          <w:szCs w:val="32"/>
        </w:rPr>
        <w:t>2019年年初预算0元，根据项目建设进度，收到财政安排上年交回财政统筹资金</w:t>
      </w:r>
      <w:r>
        <w:rPr>
          <w:rFonts w:ascii="仿宋_GB2312" w:hAnsi="仿宋" w:cs="仿宋"/>
          <w:color w:val="000000"/>
          <w:szCs w:val="32"/>
        </w:rPr>
        <w:t>168729.78</w:t>
      </w:r>
      <w:r>
        <w:rPr>
          <w:rFonts w:hint="eastAsia" w:ascii="仿宋_GB2312" w:hAnsi="仿宋"/>
          <w:szCs w:val="32"/>
        </w:rPr>
        <w:t>元，用于昆明轨道交通四号线征地拆迁补偿，年未结转和结余0万元。</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（三）建议</w:t>
      </w:r>
    </w:p>
    <w:p>
      <w:pPr>
        <w:keepNext w:val="0"/>
        <w:keepLines w:val="0"/>
        <w:pageBreakBefore w:val="0"/>
        <w:widowControl w:val="0"/>
        <w:kinsoku/>
        <w:wordWrap/>
        <w:overflowPunct/>
        <w:topLinePunct/>
        <w:autoSpaceDE/>
        <w:autoSpaceDN/>
        <w:bidi w:val="0"/>
        <w:adjustRightInd/>
        <w:snapToGrid/>
        <w:spacing w:after="0" w:line="560" w:lineRule="exact"/>
        <w:ind w:left="0" w:leftChars="0" w:right="0" w:rightChars="0" w:firstLine="632" w:firstLineChars="200"/>
        <w:textAlignment w:val="auto"/>
        <w:rPr>
          <w:rFonts w:ascii="仿宋_GB2312"/>
          <w:szCs w:val="32"/>
        </w:rPr>
      </w:pPr>
      <w:r>
        <w:rPr>
          <w:rFonts w:hint="eastAsia" w:ascii="仿宋_GB2312"/>
          <w:szCs w:val="32"/>
        </w:rPr>
        <w:t>按政策规定及本部门的发展规划，结合上一年度预算执行情况和本年度预算收支变化因素，科学、合理地编制本年预算，避免项目支出与基本支出划分不准或预算支出与实际执行出现较大偏差的情况。</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4" w:firstLineChars="200"/>
        <w:textAlignment w:val="auto"/>
        <w:rPr>
          <w:rFonts w:hint="eastAsia" w:ascii="黑体" w:hAnsi="黑体" w:eastAsia="黑体" w:cs="黑体"/>
          <w:b w:val="0"/>
          <w:bCs/>
          <w:szCs w:val="32"/>
        </w:rPr>
      </w:pPr>
      <w:r>
        <w:rPr>
          <w:rFonts w:hint="eastAsia" w:ascii="黑体" w:hAnsi="黑体" w:eastAsia="黑体" w:cs="黑体"/>
          <w:b w:val="0"/>
          <w:bCs/>
          <w:szCs w:val="32"/>
        </w:rPr>
        <w:t>八、其他需说明的问题。</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632" w:firstLineChars="200"/>
        <w:textAlignment w:val="auto"/>
        <w:rPr>
          <w:rFonts w:ascii="仿宋_GB2312"/>
          <w:b/>
          <w:szCs w:val="32"/>
        </w:rPr>
      </w:pPr>
      <w:r>
        <w:rPr>
          <w:rFonts w:hint="eastAsia" w:ascii="仿宋_GB2312"/>
          <w:szCs w:val="32"/>
        </w:rPr>
        <w:t>无</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4410" w:firstLineChars="1396"/>
        <w:textAlignment w:val="auto"/>
        <w:rPr>
          <w:rFonts w:ascii="仿宋" w:hAnsi="仿宋" w:eastAsia="仿宋"/>
          <w:szCs w:val="32"/>
        </w:rPr>
      </w:pP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4410" w:firstLineChars="1396"/>
        <w:textAlignment w:val="auto"/>
        <w:rPr>
          <w:rFonts w:ascii="仿宋" w:hAnsi="仿宋" w:eastAsia="仿宋"/>
          <w:szCs w:val="32"/>
        </w:rPr>
      </w:pPr>
      <w:r>
        <w:rPr>
          <w:sz w:val="32"/>
        </w:rPr>
        <w:pict>
          <v:shape id="_x0000_s1026" o:spid="_x0000_s1026" o:spt="201" type="#_x0000_t201" style="position:absolute;left:0pt;margin-left:264.05pt;margin-top:-3pt;height:128pt;width:128pt;z-index:251658240;mso-width-relative:page;mso-height-relative:page;" o:ole="t" filled="f" o:preferrelative="t" stroked="f" coordsize="21600,21600">
            <v:path/>
            <v:fill on="f" focussize="0,0"/>
            <v:stroke on="f"/>
            <v:imagedata r:id="rId7" o:title=""/>
            <o:lock v:ext="edit" aspectratio="f"/>
          </v:shape>
          <w:control r:id="rId6" w:name="CWordOLECtrl1" w:shapeid="_x0000_s1026"/>
        </w:pict>
      </w:r>
    </w:p>
    <w:p>
      <w:pPr>
        <w:keepNext w:val="0"/>
        <w:keepLines w:val="0"/>
        <w:pageBreakBefore w:val="0"/>
        <w:widowControl w:val="0"/>
        <w:kinsoku/>
        <w:wordWrap/>
        <w:overflowPunct/>
        <w:autoSpaceDE/>
        <w:autoSpaceDN/>
        <w:bidi w:val="0"/>
        <w:adjustRightInd/>
        <w:snapToGrid/>
        <w:spacing w:after="0" w:line="560" w:lineRule="exact"/>
        <w:ind w:left="0" w:leftChars="0" w:right="0" w:rightChars="0" w:firstLine="4410" w:firstLineChars="1396"/>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昆明市</w:t>
      </w:r>
      <w:r>
        <w:rPr>
          <w:rFonts w:hint="eastAsia" w:ascii="仿宋_GB2312" w:hAnsi="仿宋_GB2312" w:eastAsia="仿宋_GB2312" w:cs="仿宋_GB2312"/>
          <w:szCs w:val="32"/>
        </w:rPr>
        <w:t>呈贡区住房和城乡建设局</w:t>
      </w:r>
    </w:p>
    <w:p>
      <w:pPr>
        <w:keepNext w:val="0"/>
        <w:keepLines w:val="0"/>
        <w:pageBreakBefore w:val="0"/>
        <w:widowControl w:val="0"/>
        <w:kinsoku/>
        <w:wordWrap/>
        <w:overflowPunct/>
        <w:topLinePunct/>
        <w:autoSpaceDE/>
        <w:autoSpaceDN/>
        <w:bidi w:val="0"/>
        <w:adjustRightInd/>
        <w:snapToGrid/>
        <w:spacing w:after="0" w:line="560" w:lineRule="exact"/>
        <w:ind w:left="0" w:leftChars="0" w:right="0" w:rightChars="0" w:firstLine="5457" w:firstLineChars="1727"/>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2020年3月19日</w:t>
      </w:r>
    </w:p>
    <w:p>
      <w:pPr>
        <w:keepNext w:val="0"/>
        <w:keepLines w:val="0"/>
        <w:pageBreakBefore w:val="0"/>
        <w:widowControl w:val="0"/>
        <w:kinsoku/>
        <w:wordWrap/>
        <w:overflowPunct/>
        <w:autoSpaceDE/>
        <w:autoSpaceDN/>
        <w:bidi w:val="0"/>
        <w:adjustRightInd/>
        <w:snapToGrid/>
        <w:spacing w:after="0" w:line="560" w:lineRule="exact"/>
        <w:ind w:left="0" w:leftChars="0" w:right="0" w:rightChars="0"/>
        <w:textAlignment w:val="auto"/>
      </w:pPr>
    </w:p>
    <w:sectPr>
      <w:footerReference r:id="rId3" w:type="default"/>
      <w:footerReference r:id="rId4" w:type="even"/>
      <w:pgSz w:w="11907" w:h="16840"/>
      <w:pgMar w:top="567" w:right="1531" w:bottom="567"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35"/>
      <w:rPr>
        <w:rStyle w:val="4"/>
        <w:rFonts w:ascii="宋体" w:hAnsi="宋体" w:eastAsia="宋体"/>
        <w:sz w:val="28"/>
      </w:rPr>
    </w:pPr>
    <w:r>
      <w:rPr>
        <w:rStyle w:val="4"/>
        <w:rFonts w:ascii="宋体" w:hAnsi="宋体" w:eastAsia="宋体"/>
        <w:sz w:val="28"/>
      </w:rPr>
      <w:t>—</w:t>
    </w:r>
    <w:r>
      <w:rPr>
        <w:rFonts w:ascii="宋体" w:hAnsi="宋体" w:eastAsia="宋体"/>
        <w:sz w:val="28"/>
      </w:rPr>
      <w:fldChar w:fldCharType="begin"/>
    </w:r>
    <w:r>
      <w:rPr>
        <w:rStyle w:val="4"/>
        <w:rFonts w:ascii="宋体" w:hAnsi="宋体" w:eastAsia="宋体"/>
        <w:sz w:val="28"/>
      </w:rPr>
      <w:instrText xml:space="preserve">PAGE  </w:instrText>
    </w:r>
    <w:r>
      <w:rPr>
        <w:rFonts w:ascii="宋体" w:hAnsi="宋体" w:eastAsia="宋体"/>
        <w:sz w:val="28"/>
      </w:rPr>
      <w:fldChar w:fldCharType="separate"/>
    </w:r>
    <w:r>
      <w:rPr>
        <w:rStyle w:val="4"/>
        <w:rFonts w:ascii="宋体" w:hAnsi="宋体" w:eastAsia="宋体"/>
        <w:sz w:val="28"/>
      </w:rPr>
      <w:t>2</w:t>
    </w:r>
    <w:r>
      <w:rPr>
        <w:rFonts w:ascii="宋体" w:hAnsi="宋体" w:eastAsia="宋体"/>
        <w:sz w:val="28"/>
      </w:rPr>
      <w:fldChar w:fldCharType="end"/>
    </w:r>
    <w:r>
      <w:rPr>
        <w:rStyle w:val="4"/>
        <w:rFonts w:ascii="宋体" w:hAnsi="宋体" w:eastAsia="宋体"/>
        <w:sz w:val="28"/>
      </w:rPr>
      <w:t>—</w:t>
    </w:r>
  </w:p>
  <w:p>
    <w:pPr>
      <w:pStyle w:val="2"/>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35"/>
      <w:rPr>
        <w:rStyle w:val="4"/>
        <w:rFonts w:ascii="宋体" w:hAnsi="宋体" w:eastAsia="宋体"/>
        <w:sz w:val="28"/>
      </w:rPr>
    </w:pPr>
    <w:r>
      <w:rPr>
        <w:rStyle w:val="4"/>
        <w:rFonts w:ascii="宋体" w:hAnsi="宋体" w:eastAsia="宋体"/>
        <w:sz w:val="28"/>
      </w:rPr>
      <w:t>—</w:t>
    </w:r>
    <w:r>
      <w:rPr>
        <w:rFonts w:ascii="宋体" w:hAnsi="宋体" w:eastAsia="宋体"/>
        <w:sz w:val="28"/>
      </w:rPr>
      <w:fldChar w:fldCharType="begin"/>
    </w:r>
    <w:r>
      <w:rPr>
        <w:rStyle w:val="4"/>
        <w:rFonts w:ascii="宋体" w:hAnsi="宋体" w:eastAsia="宋体"/>
        <w:sz w:val="28"/>
      </w:rPr>
      <w:instrText xml:space="preserve">PAGE  </w:instrText>
    </w:r>
    <w:r>
      <w:rPr>
        <w:rFonts w:ascii="宋体" w:hAnsi="宋体" w:eastAsia="宋体"/>
        <w:sz w:val="28"/>
      </w:rPr>
      <w:fldChar w:fldCharType="separate"/>
    </w:r>
    <w:r>
      <w:rPr>
        <w:rStyle w:val="4"/>
        <w:rFonts w:ascii="宋体" w:hAnsi="宋体" w:eastAsia="宋体"/>
        <w:sz w:val="28"/>
      </w:rPr>
      <w:t>6</w:t>
    </w:r>
    <w:r>
      <w:rPr>
        <w:rFonts w:ascii="宋体" w:hAnsi="宋体" w:eastAsia="宋体"/>
        <w:sz w:val="28"/>
      </w:rPr>
      <w:fldChar w:fldCharType="end"/>
    </w:r>
    <w:r>
      <w:rPr>
        <w:rStyle w:val="4"/>
        <w:rFonts w:ascii="宋体" w:hAnsi="宋体" w:eastAsia="宋体"/>
        <w:sz w:val="28"/>
      </w:rPr>
      <w:t>—</w:t>
    </w:r>
  </w:p>
  <w:p>
    <w:pPr>
      <w:pStyle w:val="2"/>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h1K6suxFqMOKBmzXEDY4psqBMGE=" w:salt="CGOgihfidZY/hCQIgJcWWw=="/>
  <w:defaultTabStop w:val="720"/>
  <w:characterSpacingControl w:val="doNotCompress"/>
  <w:compat>
    <w:useFELayout/>
    <w:compatSetting w:name="compatibilityMode" w:uri="http://schemas.microsoft.com/office/word" w:val="12"/>
  </w:compat>
  <w:rsids>
    <w:rsidRoot w:val="006B19FC"/>
    <w:rsid w:val="00253A16"/>
    <w:rsid w:val="002E64F7"/>
    <w:rsid w:val="00323B43"/>
    <w:rsid w:val="003410FE"/>
    <w:rsid w:val="00383A64"/>
    <w:rsid w:val="003D37D8"/>
    <w:rsid w:val="003D7C87"/>
    <w:rsid w:val="004153E0"/>
    <w:rsid w:val="004358AB"/>
    <w:rsid w:val="005275DC"/>
    <w:rsid w:val="006B19FC"/>
    <w:rsid w:val="007760BD"/>
    <w:rsid w:val="008B7726"/>
    <w:rsid w:val="00AC7105"/>
    <w:rsid w:val="00B91B94"/>
    <w:rsid w:val="00C824B3"/>
    <w:rsid w:val="00E644C2"/>
    <w:rsid w:val="00F54401"/>
    <w:rsid w:val="4D9D254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仿宋_GB2312" w:cs="Times New Roman"/>
      <w:kern w:val="2"/>
      <w:sz w:val="32"/>
      <w:szCs w:val="20"/>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asciiTheme="minorHAnsi" w:hAnsiTheme="minorHAnsi"/>
      <w:kern w:val="0"/>
      <w:sz w:val="18"/>
      <w:szCs w:val="18"/>
    </w:rPr>
  </w:style>
  <w:style w:type="character" w:styleId="4">
    <w:name w:val="page number"/>
    <w:basedOn w:val="3"/>
    <w:qFormat/>
    <w:uiPriority w:val="0"/>
    <w:rPr>
      <w:rFonts w:cs="Times New Roman"/>
    </w:rPr>
  </w:style>
  <w:style w:type="character" w:customStyle="1" w:styleId="6">
    <w:name w:val="页脚 Char"/>
    <w:basedOn w:val="3"/>
    <w:link w:val="2"/>
    <w:uiPriority w:val="0"/>
    <w:rPr>
      <w:rFonts w:eastAsia="仿宋_GB2312" w:cs="Times New Roman"/>
      <w:sz w:val="18"/>
      <w:szCs w:val="18"/>
    </w:rPr>
  </w:style>
  <w:style w:type="character" w:customStyle="1" w:styleId="7">
    <w:name w:val="页脚 Char1"/>
    <w:basedOn w:val="3"/>
    <w:link w:val="2"/>
    <w:semiHidden/>
    <w:uiPriority w:val="99"/>
    <w:rPr>
      <w:rFonts w:ascii="Times New Roman" w:hAnsi="Times New Roman" w:eastAsia="仿宋_GB2312" w:cs="Times New Roman"/>
      <w:kern w:val="2"/>
      <w:sz w:val="18"/>
      <w:szCs w:val="18"/>
    </w:rPr>
  </w:style>
  <w:style w:type="character" w:customStyle="1" w:styleId="8">
    <w:name w:val="公文正文"/>
    <w:basedOn w:val="3"/>
    <w:uiPriority w:val="0"/>
    <w:rPr>
      <w:rFonts w:asci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414</Words>
  <Characters>2361</Characters>
  <Lines>19</Lines>
  <Paragraphs>5</Paragraphs>
  <TotalTime>0</TotalTime>
  <ScaleCrop>false</ScaleCrop>
  <LinksUpToDate>false</LinksUpToDate>
  <CharactersWithSpaces>2770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2020-03-19T01:11:00Z</dcterms:created>
  <dc:creator>2014</dc:creator>
  <cp:lastModifiedBy>Administrator</cp:lastModifiedBy>
  <dcterms:modified xsi:type="dcterms:W3CDTF">2020-06-16T05:18:52Z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FB719464E3E649D4BD9D2FC47EE74E6B</vt:lpwstr>
  </property>
  <property fmtid="{D5CDD505-2E9C-101B-9397-08002B2CF9AE}" pid="3" name="KSOProductBuildVer">
    <vt:lpwstr>2052-10.8.0.5950</vt:lpwstr>
  </property>
</Properties>
</file>