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bookmarkStart w:id="0" w:name="_GoBack"/>
      <w:bookmarkEnd w:id="0"/>
    </w:p>
    <w:p>
      <w:pPr>
        <w:spacing w:line="600" w:lineRule="exact"/>
        <w:jc w:val="center"/>
        <w:rPr>
          <w:rFonts w:ascii="方正小标宋_GBK" w:eastAsia="方正小标宋_GBK"/>
          <w:sz w:val="36"/>
          <w:szCs w:val="36"/>
        </w:rPr>
      </w:pPr>
      <w:r>
        <w:rPr>
          <w:rFonts w:hint="eastAsia" w:ascii="方正小标宋_GBK" w:eastAsia="方正小标宋_GBK"/>
          <w:sz w:val="36"/>
          <w:szCs w:val="36"/>
        </w:rPr>
        <w:t>部门整体支出绩效评价报告</w:t>
      </w:r>
    </w:p>
    <w:p>
      <w:pPr>
        <w:spacing w:line="600" w:lineRule="exact"/>
        <w:ind w:firstLine="669" w:firstLineChars="225"/>
        <w:rPr>
          <w:rFonts w:ascii="仿宋_GB2312"/>
          <w:b/>
          <w:szCs w:val="32"/>
        </w:rPr>
      </w:pPr>
    </w:p>
    <w:p>
      <w:pPr>
        <w:topLinePunct/>
        <w:ind w:firstLine="594" w:firstLineChars="200"/>
        <w:rPr>
          <w:rFonts w:ascii="黑体" w:eastAsia="黑体"/>
          <w:szCs w:val="32"/>
        </w:rPr>
      </w:pPr>
      <w:r>
        <w:rPr>
          <w:rFonts w:hint="eastAsia" w:ascii="黑体" w:eastAsia="黑体"/>
          <w:szCs w:val="32"/>
        </w:rPr>
        <w:t>一、基本情况</w:t>
      </w:r>
    </w:p>
    <w:p>
      <w:pPr>
        <w:ind w:firstLine="594" w:firstLineChars="200"/>
        <w:rPr>
          <w:rFonts w:ascii="仿宋_GB2312"/>
          <w:szCs w:val="32"/>
        </w:rPr>
      </w:pPr>
      <w:r>
        <w:rPr>
          <w:rFonts w:hint="eastAsia" w:ascii="仿宋_GB2312"/>
          <w:szCs w:val="32"/>
        </w:rPr>
        <w:t>（一）部门整体支出概况，年</w:t>
      </w:r>
      <w:r>
        <w:rPr>
          <w:rFonts w:hint="eastAsia" w:ascii="仿宋_GB2312"/>
          <w:szCs w:val="32"/>
          <w:lang w:eastAsia="zh-CN"/>
        </w:rPr>
        <w:t>度</w:t>
      </w:r>
      <w:r>
        <w:rPr>
          <w:rFonts w:hint="eastAsia" w:ascii="仿宋_GB2312"/>
          <w:szCs w:val="32"/>
        </w:rPr>
        <w:t>部门决算收支完成情况，包括收入构成、支出构成、年初预算完成率、当年收支平衡和年终结转结余情况等。</w:t>
      </w:r>
      <w:r>
        <w:rPr>
          <w:rFonts w:hint="eastAsia" w:ascii="仿宋_GB2312" w:eastAsia="仿宋_GB2312"/>
          <w:sz w:val="32"/>
          <w:szCs w:val="32"/>
        </w:rPr>
        <w:t>呈贡区红十字会201</w:t>
      </w:r>
      <w:r>
        <w:rPr>
          <w:rFonts w:hint="eastAsia" w:ascii="仿宋_GB2312"/>
          <w:sz w:val="32"/>
          <w:szCs w:val="32"/>
          <w:lang w:val="en-US" w:eastAsia="zh-CN"/>
        </w:rPr>
        <w:t>9</w:t>
      </w:r>
      <w:r>
        <w:rPr>
          <w:rFonts w:hint="eastAsia" w:ascii="仿宋_GB2312" w:eastAsia="仿宋_GB2312"/>
          <w:sz w:val="32"/>
          <w:szCs w:val="32"/>
        </w:rPr>
        <w:t>年总收入</w:t>
      </w:r>
      <w:r>
        <w:rPr>
          <w:rFonts w:hint="eastAsia" w:ascii="仿宋_GB2312"/>
          <w:sz w:val="32"/>
          <w:szCs w:val="32"/>
          <w:lang w:val="en-US" w:eastAsia="zh-CN"/>
        </w:rPr>
        <w:t>88.361671</w:t>
      </w:r>
      <w:r>
        <w:rPr>
          <w:rFonts w:hint="eastAsia" w:ascii="仿宋_GB2312" w:eastAsia="仿宋_GB2312"/>
          <w:sz w:val="32"/>
          <w:szCs w:val="32"/>
        </w:rPr>
        <w:t>万元。其中：财政拨款收入</w:t>
      </w:r>
      <w:r>
        <w:rPr>
          <w:rFonts w:hint="eastAsia" w:ascii="仿宋_GB2312"/>
          <w:sz w:val="32"/>
          <w:szCs w:val="32"/>
          <w:lang w:val="en-US" w:eastAsia="zh-CN"/>
        </w:rPr>
        <w:t>88.361671万</w:t>
      </w:r>
      <w:r>
        <w:rPr>
          <w:rFonts w:hint="eastAsia" w:ascii="仿宋_GB2312" w:eastAsia="仿宋_GB2312"/>
          <w:sz w:val="32"/>
          <w:szCs w:val="32"/>
        </w:rPr>
        <w:t>元，占总收入的</w:t>
      </w:r>
      <w:r>
        <w:rPr>
          <w:rFonts w:hint="eastAsia" w:ascii="仿宋_GB2312"/>
          <w:sz w:val="32"/>
          <w:szCs w:val="32"/>
          <w:lang w:val="en-US" w:eastAsia="zh-CN"/>
        </w:rPr>
        <w:t>100</w:t>
      </w:r>
      <w:r>
        <w:rPr>
          <w:rFonts w:hint="eastAsia" w:ascii="仿宋_GB2312" w:eastAsia="仿宋_GB2312"/>
          <w:sz w:val="32"/>
          <w:szCs w:val="32"/>
        </w:rPr>
        <w:t>%；其他收入</w:t>
      </w:r>
      <w:r>
        <w:rPr>
          <w:rFonts w:hint="eastAsia" w:ascii="仿宋_GB2312"/>
          <w:sz w:val="32"/>
          <w:szCs w:val="32"/>
          <w:lang w:val="en-US" w:eastAsia="zh-CN"/>
        </w:rPr>
        <w:t>0</w:t>
      </w:r>
      <w:r>
        <w:rPr>
          <w:rFonts w:hint="eastAsia" w:ascii="仿宋_GB2312" w:eastAsia="仿宋_GB2312"/>
          <w:sz w:val="32"/>
          <w:szCs w:val="32"/>
        </w:rPr>
        <w:t>万元，占总收入的0%。与上年对比减少</w:t>
      </w:r>
      <w:r>
        <w:rPr>
          <w:rFonts w:hint="eastAsia" w:ascii="仿宋_GB2312"/>
          <w:sz w:val="32"/>
          <w:szCs w:val="32"/>
          <w:lang w:val="en-US" w:eastAsia="zh-CN"/>
        </w:rPr>
        <w:t>20.455226</w:t>
      </w:r>
      <w:r>
        <w:rPr>
          <w:rFonts w:hint="eastAsia" w:ascii="仿宋_GB2312" w:eastAsia="仿宋_GB2312"/>
          <w:sz w:val="32"/>
          <w:szCs w:val="32"/>
        </w:rPr>
        <w:t>万元,主要原因分析：进修及培训减少、社会保障和就业支出减少。无上缴上级支出、经营支出、对附属单位补助支出。</w:t>
      </w:r>
    </w:p>
    <w:p>
      <w:pPr>
        <w:ind w:firstLine="594" w:firstLineChars="200"/>
        <w:rPr>
          <w:rFonts w:ascii="仿宋_GB2312"/>
          <w:szCs w:val="32"/>
        </w:rPr>
      </w:pPr>
      <w:r>
        <w:rPr>
          <w:rFonts w:hint="eastAsia" w:ascii="仿宋_GB2312"/>
          <w:szCs w:val="32"/>
        </w:rPr>
        <w:t>（二）部门整体支出绩效目标，主要包括区委、区政府或上级主管部门绩效考核的个性指标、</w:t>
      </w:r>
      <w:r>
        <w:rPr>
          <w:rFonts w:hint="eastAsia" w:ascii="仿宋_GB2312"/>
          <w:szCs w:val="32"/>
          <w:lang w:val="en-US" w:eastAsia="zh-CN"/>
        </w:rPr>
        <w:t>1.</w:t>
      </w:r>
      <w:r>
        <w:rPr>
          <w:rFonts w:hint="eastAsia" w:ascii="仿宋_GB2312" w:eastAsia="仿宋_GB2312"/>
          <w:sz w:val="32"/>
          <w:szCs w:val="32"/>
        </w:rPr>
        <w:t>预决算公开情况。根据区财政局《关于做好</w:t>
      </w:r>
      <w:r>
        <w:rPr>
          <w:rFonts w:hint="eastAsia" w:ascii="仿宋_GB2312"/>
          <w:sz w:val="32"/>
          <w:szCs w:val="32"/>
          <w:lang w:val="en-US" w:eastAsia="zh-CN"/>
        </w:rPr>
        <w:t>2020</w:t>
      </w:r>
      <w:r>
        <w:rPr>
          <w:rFonts w:hint="eastAsia" w:ascii="仿宋_GB2312" w:eastAsia="仿宋_GB2312"/>
          <w:sz w:val="32"/>
          <w:szCs w:val="32"/>
        </w:rPr>
        <w:t>年部门预算公开工作的通知》及《关于做好201</w:t>
      </w:r>
      <w:r>
        <w:rPr>
          <w:rFonts w:hint="eastAsia" w:ascii="仿宋_GB2312"/>
          <w:sz w:val="32"/>
          <w:szCs w:val="32"/>
          <w:lang w:val="en-US" w:eastAsia="zh-CN"/>
        </w:rPr>
        <w:t>9</w:t>
      </w:r>
      <w:r>
        <w:rPr>
          <w:rFonts w:hint="eastAsia" w:ascii="仿宋_GB2312" w:eastAsia="仿宋_GB2312"/>
          <w:sz w:val="32"/>
          <w:szCs w:val="32"/>
        </w:rPr>
        <w:t>年部门决算信息公开工作的通知》要求，我单位及时组织开展了部门预决算和“三公”经费公开工作，预决算全部公开到功能分类项级科目，不存在预算空转、虚列收支等问题。</w:t>
      </w:r>
      <w:r>
        <w:rPr>
          <w:rFonts w:hint="eastAsia" w:ascii="仿宋_GB2312"/>
          <w:sz w:val="32"/>
          <w:szCs w:val="32"/>
          <w:lang w:val="en-US" w:eastAsia="zh-CN"/>
        </w:rPr>
        <w:t>2</w:t>
      </w:r>
      <w:r>
        <w:rPr>
          <w:rFonts w:hint="eastAsia" w:ascii="仿宋_GB2312" w:eastAsia="仿宋_GB2312"/>
          <w:sz w:val="32"/>
          <w:szCs w:val="32"/>
        </w:rPr>
        <w:t>.存量资金管理情况。按照呈贡区财政局的要求，我单位为加快存量资金消化进度，确保资金使用安全，制定详细支出计划，确保资金形成实际支出，避免形成“二次沉淀”，妥善处理好财政资金安全与效益关系，在加快预算执行的前提下，防止突击花钱，防止违规使用财政资金。</w:t>
      </w:r>
      <w:r>
        <w:rPr>
          <w:rFonts w:hint="eastAsia" w:ascii="仿宋_GB2312"/>
          <w:sz w:val="32"/>
          <w:szCs w:val="32"/>
          <w:lang w:val="en-US" w:eastAsia="zh-CN"/>
        </w:rPr>
        <w:t>3</w:t>
      </w:r>
      <w:r>
        <w:rPr>
          <w:rFonts w:hint="eastAsia" w:ascii="仿宋_GB2312" w:eastAsia="仿宋_GB2312"/>
          <w:sz w:val="32"/>
          <w:szCs w:val="32"/>
        </w:rPr>
        <w:t>.资产管理情况。为提高国有资产的使用效益，防止国有资产流失，制定了《呈贡区红十字会资产管理制度》，对资产实行“统一领导，归口管理”，由财务统一建账、核算和管理，所有固定资产的购买、领用、收回、核销、报废等手续均由财务负责，做到账目清楚、账账相符、账物相符，并指定专人负责管理各部门的固定资产,建立卡片登记，定期检查，贵重物品确定专人保管。</w:t>
      </w:r>
      <w:r>
        <w:rPr>
          <w:rFonts w:hint="eastAsia" w:ascii="仿宋_GB2312"/>
          <w:sz w:val="32"/>
          <w:szCs w:val="32"/>
          <w:lang w:val="en-US" w:eastAsia="zh-CN"/>
        </w:rPr>
        <w:t>4</w:t>
      </w:r>
      <w:r>
        <w:rPr>
          <w:rFonts w:hint="eastAsia" w:ascii="仿宋_GB2312" w:eastAsia="仿宋_GB2312"/>
          <w:sz w:val="32"/>
          <w:szCs w:val="32"/>
        </w:rPr>
        <w:t>.内部管理制度建设。为推进单位开展内部控制规范工作，提高单位内部管理水平，根据《呈贡区行政事业单位内部控制规范实施工作方案》的要求，结合工作实际，成立了呈贡区红十字会内部控制规范领导小组，负责内部控制规范有关工作的日常工作，并通过制定制度、实施措施和执行程序，对经济活动的风险进行防范和管控。</w:t>
      </w:r>
    </w:p>
    <w:p>
      <w:pPr>
        <w:topLinePunct/>
        <w:ind w:firstLine="594" w:firstLineChars="200"/>
        <w:rPr>
          <w:rFonts w:ascii="仿宋_GB2312"/>
          <w:szCs w:val="32"/>
        </w:rPr>
      </w:pPr>
      <w:r>
        <w:rPr>
          <w:rFonts w:hint="eastAsia" w:ascii="仿宋_GB2312"/>
          <w:szCs w:val="32"/>
        </w:rPr>
        <w:t>（三）部门整体支出或项目实施情况分析，主要包括资金到位、资金使用、资金管理、项目组织和项目管理情况分析等。</w:t>
      </w:r>
    </w:p>
    <w:p>
      <w:pPr>
        <w:topLinePunct/>
        <w:ind w:firstLine="594" w:firstLineChars="200"/>
        <w:rPr>
          <w:rFonts w:ascii="黑体" w:eastAsia="黑体"/>
          <w:szCs w:val="32"/>
        </w:rPr>
      </w:pPr>
      <w:r>
        <w:rPr>
          <w:rFonts w:hint="eastAsia" w:ascii="黑体" w:eastAsia="黑体"/>
          <w:szCs w:val="32"/>
        </w:rPr>
        <w:t>二、绩效评价工作情况</w:t>
      </w:r>
    </w:p>
    <w:p>
      <w:pPr>
        <w:ind w:firstLine="594"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rPr>
        <w:t>绩效评价目的。</w:t>
      </w:r>
      <w:r>
        <w:rPr>
          <w:rFonts w:hint="eastAsia" w:ascii="仿宋_GB2312" w:hAnsi="Arial" w:eastAsia="仿宋_GB2312" w:cs="Arial"/>
          <w:sz w:val="32"/>
          <w:szCs w:val="32"/>
        </w:rPr>
        <w:t>一是抓好绩效目标编制，及时报送绩效目标。二是探索绩效跟踪监控，要求加强过程监控。三是深入开展财政支出绩效评价，对项目资金实施绩效自评和项目核查，在此基础上形成自评报告。四是强化评价结果应用，组织绩效自评和绩效跟踪监控，对发现的问题及时改进，加强评价结果与项目资金安排的衔接。五是健全绩效管理工作机制，明确职责分工，</w:t>
      </w:r>
      <w:r>
        <w:rPr>
          <w:rFonts w:hint="eastAsia" w:ascii="仿宋_GB2312" w:eastAsia="仿宋_GB2312"/>
          <w:sz w:val="32"/>
          <w:szCs w:val="32"/>
        </w:rPr>
        <w:t>进一步加强预算绩效管理，强化支出责任，提高财政资金使用效益，</w:t>
      </w:r>
      <w:r>
        <w:rPr>
          <w:rFonts w:hint="eastAsia" w:ascii="仿宋_GB2312" w:hAnsi="Arial" w:eastAsia="仿宋_GB2312" w:cs="Arial"/>
          <w:sz w:val="32"/>
          <w:szCs w:val="32"/>
        </w:rPr>
        <w:t>努力提高了绩效管理工作水平。</w:t>
      </w:r>
    </w:p>
    <w:p>
      <w:pPr>
        <w:ind w:firstLine="594" w:firstLineChars="200"/>
        <w:rPr>
          <w:rFonts w:hint="eastAsia" w:ascii="仿宋_GB2312" w:eastAsia="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二）绩效评价工作过程，主要包括前期准备、组织实施和分析评价等内容。</w:t>
      </w:r>
      <w:r>
        <w:rPr>
          <w:rFonts w:ascii="仿宋_GB2312"/>
          <w:szCs w:val="32"/>
          <w:highlight w:val="none"/>
        </w:rPr>
        <w:t>1.</w:t>
      </w:r>
      <w:r>
        <w:rPr>
          <w:rFonts w:hint="eastAsia" w:ascii="仿宋_GB2312"/>
          <w:szCs w:val="32"/>
          <w:highlight w:val="none"/>
        </w:rPr>
        <w:t>前期准备</w:t>
      </w:r>
      <w:r>
        <w:rPr>
          <w:rFonts w:hint="eastAsia" w:ascii="仿宋_GB2312" w:eastAsia="仿宋_GB2312"/>
          <w:sz w:val="32"/>
          <w:szCs w:val="32"/>
        </w:rPr>
        <w:t>：按照绩效自评工作要求，组成了以区红十字会常务副会长为组长，相关科室负责人为成员的绩效评价工作领导小组，对相关的国家法律法规进行了认真学习，掌握政策，根据部门整体收支情况制定了部门整体支出绩效评价实施方案。</w:t>
      </w:r>
    </w:p>
    <w:p>
      <w:pPr>
        <w:ind w:firstLine="594" w:firstLineChars="200"/>
        <w:rPr>
          <w:rFonts w:hint="eastAsia" w:ascii="仿宋_GB2312" w:eastAsia="仿宋_GB2312"/>
          <w:sz w:val="32"/>
          <w:szCs w:val="32"/>
        </w:rPr>
      </w:pPr>
      <w:r>
        <w:rPr>
          <w:rFonts w:ascii="仿宋_GB2312"/>
          <w:szCs w:val="32"/>
          <w:highlight w:val="none"/>
        </w:rPr>
        <w:t>2.</w:t>
      </w:r>
      <w:r>
        <w:rPr>
          <w:rFonts w:hint="eastAsia" w:ascii="仿宋_GB2312"/>
          <w:szCs w:val="32"/>
          <w:highlight w:val="none"/>
        </w:rPr>
        <w:t>组织实施</w:t>
      </w:r>
      <w:r>
        <w:rPr>
          <w:rFonts w:hint="eastAsia" w:ascii="仿宋_GB2312"/>
          <w:szCs w:val="32"/>
          <w:highlight w:val="none"/>
          <w:lang w:eastAsia="zh-CN"/>
        </w:rPr>
        <w:t>：</w:t>
      </w:r>
      <w:r>
        <w:rPr>
          <w:rFonts w:hint="eastAsia" w:ascii="仿宋_GB2312" w:eastAsia="仿宋_GB2312"/>
          <w:sz w:val="32"/>
          <w:szCs w:val="32"/>
        </w:rPr>
        <w:t>采用核查法核查201</w:t>
      </w:r>
      <w:r>
        <w:rPr>
          <w:rFonts w:hint="eastAsia" w:ascii="仿宋_GB2312"/>
          <w:sz w:val="32"/>
          <w:szCs w:val="32"/>
          <w:lang w:val="en-US" w:eastAsia="zh-CN"/>
        </w:rPr>
        <w:t>9</w:t>
      </w:r>
      <w:r>
        <w:rPr>
          <w:rFonts w:hint="eastAsia" w:ascii="仿宋_GB2312" w:eastAsia="仿宋_GB2312"/>
          <w:sz w:val="32"/>
          <w:szCs w:val="32"/>
        </w:rPr>
        <w:t>年同级财政预算批复执行及部门整体支出情况，着重核查了“三公”经费及资产管理、内部控制制度情况，对内设机构，根据部门职能和年初制定的绩效考核目标，进行了实地绩效考评。</w:t>
      </w:r>
    </w:p>
    <w:p>
      <w:pPr>
        <w:ind w:firstLine="594" w:firstLineChars="200"/>
        <w:rPr>
          <w:rFonts w:hint="eastAsia" w:ascii="仿宋_GB2312" w:hAnsi="仿宋_GB2312" w:eastAsia="仿宋_GB2312" w:cs="仿宋_GB2312"/>
          <w:sz w:val="32"/>
          <w:szCs w:val="32"/>
        </w:rPr>
      </w:pPr>
      <w:r>
        <w:rPr>
          <w:rFonts w:ascii="仿宋_GB2312"/>
          <w:szCs w:val="32"/>
          <w:highlight w:val="none"/>
        </w:rPr>
        <w:t>3.</w:t>
      </w:r>
      <w:r>
        <w:rPr>
          <w:rFonts w:hint="eastAsia" w:ascii="仿宋_GB2312"/>
          <w:szCs w:val="32"/>
          <w:highlight w:val="none"/>
        </w:rPr>
        <w:t>分析评价</w:t>
      </w:r>
      <w:r>
        <w:rPr>
          <w:rFonts w:hint="eastAsia" w:ascii="仿宋_GB2312"/>
          <w:szCs w:val="32"/>
          <w:highlight w:val="none"/>
          <w:lang w:eastAsia="zh-CN"/>
        </w:rPr>
        <w:t>：</w:t>
      </w:r>
      <w:r>
        <w:rPr>
          <w:rFonts w:hint="eastAsia" w:ascii="仿宋_GB2312" w:eastAsia="仿宋_GB2312"/>
          <w:sz w:val="32"/>
          <w:szCs w:val="32"/>
        </w:rPr>
        <w:t>对评价过程中收集资料进行归纳，汇总分析，依据设定的部门整体支出绩效评价指标体系进行了评分。</w:t>
      </w:r>
    </w:p>
    <w:p>
      <w:pPr>
        <w:topLinePunct/>
        <w:ind w:firstLine="594" w:firstLineChars="200"/>
        <w:rPr>
          <w:rFonts w:ascii="黑体" w:eastAsia="黑体"/>
          <w:szCs w:val="32"/>
        </w:rPr>
      </w:pPr>
      <w:r>
        <w:rPr>
          <w:rFonts w:hint="eastAsia" w:ascii="黑体" w:eastAsia="黑体"/>
          <w:szCs w:val="32"/>
        </w:rPr>
        <w:t>三、主要绩效及评价结论</w:t>
      </w:r>
    </w:p>
    <w:p>
      <w:pPr>
        <w:topLinePunct/>
        <w:ind w:firstLine="594" w:firstLineChars="200"/>
        <w:jc w:val="both"/>
        <w:rPr>
          <w:rFonts w:ascii="仿宋_GB2312"/>
          <w:szCs w:val="32"/>
        </w:rPr>
      </w:pPr>
      <w:r>
        <w:rPr>
          <w:rFonts w:ascii="仿宋_GB2312"/>
          <w:szCs w:val="32"/>
        </w:rPr>
        <w:t>1</w:t>
      </w:r>
      <w:r>
        <w:rPr>
          <w:rFonts w:hint="eastAsia" w:ascii="仿宋_GB2312"/>
          <w:szCs w:val="32"/>
        </w:rPr>
        <w:t>、经济性分析，主要包括成本（预算）控制情况和成本（预算）节约情况。</w:t>
      </w:r>
    </w:p>
    <w:p>
      <w:pPr>
        <w:topLinePunct/>
        <w:ind w:firstLine="594" w:firstLineChars="200"/>
        <w:jc w:val="both"/>
        <w:rPr>
          <w:rFonts w:ascii="仿宋_GB2312"/>
          <w:szCs w:val="32"/>
        </w:rPr>
      </w:pPr>
      <w:r>
        <w:rPr>
          <w:rFonts w:ascii="仿宋_GB2312"/>
          <w:szCs w:val="32"/>
        </w:rPr>
        <w:t>2</w:t>
      </w:r>
      <w:r>
        <w:rPr>
          <w:rFonts w:hint="eastAsia" w:ascii="仿宋_GB2312"/>
          <w:szCs w:val="32"/>
        </w:rPr>
        <w:t>、效率性分析，主要包括实施进度和完成质量。</w:t>
      </w:r>
    </w:p>
    <w:p>
      <w:pPr>
        <w:topLinePunct/>
        <w:ind w:firstLine="594" w:firstLineChars="200"/>
        <w:jc w:val="both"/>
        <w:rPr>
          <w:rFonts w:ascii="仿宋_GB2312"/>
          <w:szCs w:val="32"/>
        </w:rPr>
      </w:pPr>
      <w:r>
        <w:rPr>
          <w:rFonts w:ascii="仿宋_GB2312"/>
          <w:szCs w:val="32"/>
        </w:rPr>
        <w:t>3</w:t>
      </w:r>
      <w:r>
        <w:rPr>
          <w:rFonts w:hint="eastAsia" w:ascii="仿宋_GB2312"/>
          <w:szCs w:val="32"/>
        </w:rPr>
        <w:t>、效益性分析，主要包括预期目标完成程度和对经济和社会的影响等。</w:t>
      </w:r>
    </w:p>
    <w:p>
      <w:pPr>
        <w:topLinePunct/>
        <w:ind w:firstLine="594" w:firstLineChars="200"/>
        <w:jc w:val="both"/>
        <w:rPr>
          <w:rFonts w:ascii="仿宋_GB2312"/>
          <w:szCs w:val="32"/>
        </w:rPr>
      </w:pPr>
      <w:r>
        <w:rPr>
          <w:rFonts w:hint="eastAsia" w:ascii="仿宋_GB2312"/>
          <w:szCs w:val="32"/>
        </w:rPr>
        <w:t>关于绩效情况的分析既可从以上三个方面进行归纳，也可以把以上三个方面的内容融入到实施取得的显著成效中进行说明。</w:t>
      </w:r>
    </w:p>
    <w:p>
      <w:pPr>
        <w:numPr>
          <w:ilvl w:val="0"/>
          <w:numId w:val="1"/>
        </w:numPr>
        <w:topLinePunct/>
        <w:ind w:firstLine="594" w:firstLineChars="200"/>
        <w:rPr>
          <w:rFonts w:hint="eastAsia" w:ascii="黑体" w:eastAsia="黑体"/>
          <w:szCs w:val="32"/>
        </w:rPr>
      </w:pPr>
      <w:r>
        <w:rPr>
          <w:rFonts w:hint="eastAsia" w:ascii="黑体" w:eastAsia="黑体"/>
          <w:szCs w:val="32"/>
        </w:rPr>
        <w:t>存在的问题</w:t>
      </w:r>
    </w:p>
    <w:p>
      <w:pPr>
        <w:numPr>
          <w:numId w:val="0"/>
        </w:numPr>
        <w:topLinePunct/>
        <w:rPr>
          <w:rFonts w:hint="eastAsia" w:ascii="黑体" w:eastAsia="黑体"/>
          <w:szCs w:val="32"/>
        </w:rPr>
      </w:pPr>
      <w:r>
        <w:rPr>
          <w:rFonts w:ascii="仿宋_GB2312" w:hAnsi="宋体" w:eastAsia="仿宋_GB2312" w:cs="仿宋_GB2312"/>
          <w:sz w:val="31"/>
          <w:szCs w:val="31"/>
        </w:rPr>
        <w:t>对照绩效评价工作要求，区</w:t>
      </w:r>
      <w:r>
        <w:rPr>
          <w:rFonts w:hint="eastAsia" w:ascii="仿宋_GB2312" w:hAnsi="宋体" w:eastAsia="仿宋_GB2312" w:cs="仿宋_GB2312"/>
          <w:sz w:val="31"/>
          <w:szCs w:val="31"/>
          <w:lang w:eastAsia="zh-CN"/>
        </w:rPr>
        <w:t>红十字会</w:t>
      </w:r>
      <w:r>
        <w:rPr>
          <w:rFonts w:ascii="仿宋_GB2312" w:hAnsi="宋体" w:eastAsia="仿宋_GB2312" w:cs="仿宋_GB2312"/>
          <w:sz w:val="31"/>
          <w:szCs w:val="31"/>
        </w:rPr>
        <w:t>专门成立了自评领导小组，组织力量认真进行研究，贯彻落实，使绩效自评顺利开展，也取得良好效果。此外，在编制部门年度预算时，虽已以本单位职能职责和年度工作计划为根据，但在</w:t>
      </w:r>
      <w:r>
        <w:rPr>
          <w:rFonts w:hint="default" w:ascii="Times New Roman" w:hAnsi="Times New Roman" w:eastAsia="宋体" w:cs="Times New Roman"/>
          <w:sz w:val="31"/>
          <w:szCs w:val="31"/>
        </w:rPr>
        <w:t>2019</w:t>
      </w:r>
      <w:r>
        <w:rPr>
          <w:rFonts w:hint="default" w:ascii="仿宋_GB2312" w:hAnsi="宋体" w:eastAsia="仿宋_GB2312" w:cs="仿宋_GB2312"/>
          <w:sz w:val="31"/>
          <w:szCs w:val="31"/>
        </w:rPr>
        <w:t>年部门预算执行过程中，仍然存在一些无法预计和列入年初预算的项目支出，需要在年度中间进行预算追加和调整的问题。</w:t>
      </w:r>
    </w:p>
    <w:p>
      <w:pPr>
        <w:ind w:firstLine="594" w:firstLineChars="200"/>
        <w:rPr>
          <w:rFonts w:hint="eastAsia" w:ascii="黑体" w:eastAsia="黑体"/>
          <w:szCs w:val="32"/>
        </w:rPr>
      </w:pPr>
      <w:r>
        <w:rPr>
          <w:rFonts w:hint="eastAsia" w:ascii="黑体" w:eastAsia="黑体"/>
          <w:szCs w:val="32"/>
        </w:rPr>
        <w:t>五、有关建议</w:t>
      </w:r>
    </w:p>
    <w:p>
      <w:pPr>
        <w:ind w:firstLine="594" w:firstLineChars="200"/>
        <w:rPr>
          <w:rFonts w:hint="eastAsia" w:ascii="仿宋_GB2312" w:hAnsi="Calibri" w:eastAsia="仿宋_GB2312"/>
          <w:sz w:val="32"/>
          <w:szCs w:val="32"/>
        </w:rPr>
      </w:pPr>
      <w:r>
        <w:rPr>
          <w:rFonts w:hint="eastAsia" w:ascii="仿宋_GB2312" w:eastAsia="仿宋_GB2312"/>
          <w:sz w:val="32"/>
          <w:szCs w:val="32"/>
        </w:rPr>
        <w:t>（一）科学合理编制预算，严格执行预算。要按照《预算法》及其实施条例的相关规定，参考上一年的预算执行情况和年度的收支预测科学编制预算，避免年中大幅追加以及超预算。同时严格预算执行，提高资金使用效率。</w:t>
      </w:r>
    </w:p>
    <w:p>
      <w:pPr>
        <w:ind w:firstLine="594" w:firstLineChars="200"/>
        <w:rPr>
          <w:rFonts w:hint="eastAsia" w:ascii="仿宋_GB2312" w:eastAsia="仿宋_GB2312"/>
          <w:sz w:val="32"/>
          <w:szCs w:val="32"/>
        </w:rPr>
      </w:pPr>
      <w:r>
        <w:rPr>
          <w:rFonts w:hint="eastAsia" w:ascii="仿宋_GB2312" w:eastAsia="仿宋_GB2312"/>
          <w:sz w:val="32"/>
          <w:szCs w:val="32"/>
        </w:rPr>
        <w:t>（二）进一步规范账务处理，提高财务信息质量。严格按照《会计法》、《事业单位会计制度》、《事业单位财务规则》等规定，结合实际情况，科学设置支出科目，规范财务核算，完整披露相关信息。</w:t>
      </w:r>
    </w:p>
    <w:p>
      <w:pPr>
        <w:ind w:firstLine="594" w:firstLineChars="200"/>
        <w:rPr>
          <w:rFonts w:hint="eastAsia" w:ascii="仿宋_GB2312" w:eastAsia="仿宋_GB2312"/>
          <w:sz w:val="32"/>
          <w:szCs w:val="32"/>
        </w:rPr>
      </w:pPr>
      <w:r>
        <w:rPr>
          <w:rFonts w:hint="eastAsia" w:ascii="仿宋_GB2312" w:eastAsia="仿宋_GB2312"/>
          <w:sz w:val="32"/>
          <w:szCs w:val="32"/>
        </w:rPr>
        <w:t>（三）加强单位内控制度建设，完善相关内部管理制度。按区财政局要求开展内部控制建设工作，通过查找内部管理中的薄弱环节提出《内部控制缺陷清单》；通过清理制度完善各项《内部控制制度》。</w:t>
      </w:r>
    </w:p>
    <w:p>
      <w:pPr>
        <w:topLinePunct/>
        <w:ind w:firstLine="594" w:firstLineChars="200"/>
        <w:rPr>
          <w:rFonts w:ascii="黑体" w:eastAsia="黑体"/>
          <w:szCs w:val="32"/>
        </w:rPr>
      </w:pPr>
    </w:p>
    <w:p>
      <w:pPr>
        <w:topLinePunct/>
        <w:ind w:firstLine="594" w:firstLineChars="200"/>
        <w:rPr>
          <w:rFonts w:ascii="黑体" w:eastAsia="黑体"/>
          <w:szCs w:val="32"/>
        </w:rPr>
      </w:pPr>
      <w:r>
        <w:rPr>
          <w:rFonts w:hint="eastAsia" w:ascii="黑体" w:eastAsia="黑体"/>
          <w:szCs w:val="32"/>
        </w:rPr>
        <w:t>六、其他需要说明的问题</w:t>
      </w:r>
    </w:p>
    <w:p>
      <w:pPr>
        <w:ind w:firstLine="594" w:firstLineChars="200"/>
        <w:rPr>
          <w:rFonts w:hint="eastAsia" w:eastAsia="仿宋_GB2312"/>
          <w:lang w:eastAsia="zh-CN"/>
        </w:rPr>
      </w:pPr>
      <w:r>
        <w:rPr>
          <w:rFonts w:hint="eastAsia"/>
          <w:lang w:eastAsia="zh-CN"/>
        </w:rPr>
        <w:t>呈贡区红十字会无其他需说明问题。</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B9BF6"/>
    <w:multiLevelType w:val="singleLevel"/>
    <w:tmpl w:val="47EB9BF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77A13"/>
    <w:rsid w:val="04A36AC2"/>
    <w:rsid w:val="057D54C9"/>
    <w:rsid w:val="070E2A75"/>
    <w:rsid w:val="0C4011FF"/>
    <w:rsid w:val="0E0B6164"/>
    <w:rsid w:val="15D601C0"/>
    <w:rsid w:val="1A055A28"/>
    <w:rsid w:val="249B0001"/>
    <w:rsid w:val="265866A6"/>
    <w:rsid w:val="27042D35"/>
    <w:rsid w:val="276C1EE9"/>
    <w:rsid w:val="27E13948"/>
    <w:rsid w:val="2A3B30E7"/>
    <w:rsid w:val="3B8101D1"/>
    <w:rsid w:val="3D3E3028"/>
    <w:rsid w:val="3E8B7C0D"/>
    <w:rsid w:val="3EA40131"/>
    <w:rsid w:val="3EF61CA3"/>
    <w:rsid w:val="40413B7C"/>
    <w:rsid w:val="40B2169B"/>
    <w:rsid w:val="411B32C9"/>
    <w:rsid w:val="41225264"/>
    <w:rsid w:val="43FC2AB8"/>
    <w:rsid w:val="4457751C"/>
    <w:rsid w:val="49B91BE9"/>
    <w:rsid w:val="4A1947E3"/>
    <w:rsid w:val="4A876725"/>
    <w:rsid w:val="51BD7F44"/>
    <w:rsid w:val="51F20D16"/>
    <w:rsid w:val="62A11A18"/>
    <w:rsid w:val="63260EA3"/>
    <w:rsid w:val="63660521"/>
    <w:rsid w:val="65167D53"/>
    <w:rsid w:val="657A3F37"/>
    <w:rsid w:val="6A092913"/>
    <w:rsid w:val="6AB571E5"/>
    <w:rsid w:val="6B187B6A"/>
    <w:rsid w:val="6BF65344"/>
    <w:rsid w:val="6D46143C"/>
    <w:rsid w:val="6DBE2E6B"/>
    <w:rsid w:val="70204C64"/>
    <w:rsid w:val="71307489"/>
    <w:rsid w:val="736947E9"/>
    <w:rsid w:val="76E83767"/>
    <w:rsid w:val="7A4D34EB"/>
    <w:rsid w:val="7B2F0E54"/>
    <w:rsid w:val="7BC92BFC"/>
    <w:rsid w:val="7BD90FD9"/>
    <w:rsid w:val="7ECB72B8"/>
    <w:rsid w:val="7F651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2020-06-16T06:00:59Z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