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D78" w:rsidRDefault="00BE0D78">
      <w:pPr>
        <w:rPr>
          <w:rFonts w:ascii="黑体" w:eastAsia="黑体"/>
          <w:szCs w:val="32"/>
        </w:rPr>
      </w:pPr>
      <w:r>
        <w:rPr>
          <w:rFonts w:ascii="黑体" w:eastAsia="黑体" w:hint="eastAsia"/>
          <w:szCs w:val="32"/>
        </w:rPr>
        <w:t>附件</w:t>
      </w:r>
      <w:r>
        <w:rPr>
          <w:rFonts w:ascii="黑体" w:eastAsia="黑体"/>
          <w:szCs w:val="32"/>
        </w:rPr>
        <w:t>4-2:</w:t>
      </w:r>
    </w:p>
    <w:p w:rsidR="00BE0D78" w:rsidRDefault="00BE0D78">
      <w:pPr>
        <w:rPr>
          <w:rFonts w:ascii="黑体" w:eastAsia="黑体"/>
          <w:szCs w:val="32"/>
        </w:rPr>
      </w:pPr>
    </w:p>
    <w:p w:rsidR="00BE0D78" w:rsidRDefault="00BE0D78">
      <w:pPr>
        <w:spacing w:line="600" w:lineRule="exact"/>
        <w:jc w:val="center"/>
        <w:rPr>
          <w:rFonts w:ascii="方正小标宋_GBK" w:eastAsia="方正小标宋_GBK"/>
          <w:sz w:val="36"/>
          <w:szCs w:val="36"/>
        </w:rPr>
      </w:pPr>
      <w:r>
        <w:rPr>
          <w:rFonts w:ascii="方正小标宋_GBK" w:eastAsia="方正小标宋_GBK" w:hint="eastAsia"/>
          <w:color w:val="000000"/>
          <w:sz w:val="36"/>
          <w:szCs w:val="36"/>
        </w:rPr>
        <w:t>呈贡区城乡居民社会养老保险局</w:t>
      </w:r>
      <w:r>
        <w:rPr>
          <w:rFonts w:ascii="方正小标宋_GBK" w:eastAsia="方正小标宋_GBK"/>
          <w:color w:val="000000"/>
          <w:sz w:val="36"/>
          <w:szCs w:val="36"/>
        </w:rPr>
        <w:t>2019</w:t>
      </w:r>
      <w:r>
        <w:rPr>
          <w:rFonts w:ascii="方正小标宋_GBK" w:eastAsia="方正小标宋_GBK" w:hint="eastAsia"/>
          <w:color w:val="000000"/>
          <w:sz w:val="36"/>
          <w:szCs w:val="36"/>
        </w:rPr>
        <w:t>年度被征地</w:t>
      </w:r>
      <w:r>
        <w:rPr>
          <w:rFonts w:ascii="方正小标宋_GBK" w:eastAsia="方正小标宋_GBK"/>
          <w:color w:val="000000"/>
          <w:sz w:val="36"/>
          <w:szCs w:val="36"/>
        </w:rPr>
        <w:br/>
      </w:r>
      <w:r>
        <w:rPr>
          <w:rFonts w:ascii="方正小标宋_GBK" w:eastAsia="方正小标宋_GBK" w:hint="eastAsia"/>
          <w:color w:val="000000"/>
          <w:sz w:val="36"/>
          <w:szCs w:val="36"/>
        </w:rPr>
        <w:t>人员基本养老保险和城乡居民基本养老保险工作经费</w:t>
      </w:r>
      <w:r>
        <w:rPr>
          <w:rFonts w:ascii="方正小标宋_GBK" w:eastAsia="方正小标宋_GBK" w:hint="eastAsia"/>
          <w:sz w:val="36"/>
          <w:szCs w:val="36"/>
        </w:rPr>
        <w:t>项目支出绩效报告（自评）</w:t>
      </w:r>
    </w:p>
    <w:p w:rsidR="00BE0D78" w:rsidRDefault="00BE0D78" w:rsidP="00305B2D">
      <w:pPr>
        <w:spacing w:line="600" w:lineRule="exact"/>
        <w:ind w:firstLineChars="200" w:firstLine="31680"/>
        <w:rPr>
          <w:rFonts w:ascii="仿宋_GB2312"/>
          <w:b/>
          <w:szCs w:val="32"/>
        </w:rPr>
      </w:pPr>
    </w:p>
    <w:p w:rsidR="00BE0D78" w:rsidRDefault="00BE0D78" w:rsidP="00305B2D">
      <w:pPr>
        <w:topLinePunct/>
        <w:ind w:firstLineChars="200" w:firstLine="31680"/>
        <w:outlineLvl w:val="0"/>
        <w:rPr>
          <w:rFonts w:ascii="黑体" w:eastAsia="黑体"/>
          <w:szCs w:val="32"/>
        </w:rPr>
      </w:pPr>
      <w:r>
        <w:rPr>
          <w:rFonts w:ascii="黑体" w:eastAsia="黑体" w:hint="eastAsia"/>
          <w:szCs w:val="32"/>
        </w:rPr>
        <w:t>一、项目基本情况</w:t>
      </w:r>
    </w:p>
    <w:p w:rsidR="00BE0D78" w:rsidRDefault="00BE0D78" w:rsidP="00305B2D">
      <w:pPr>
        <w:topLinePunct/>
        <w:ind w:firstLineChars="200" w:firstLine="31680"/>
        <w:rPr>
          <w:rFonts w:ascii="仿宋_GB2312"/>
          <w:szCs w:val="32"/>
        </w:rPr>
      </w:pPr>
      <w:r>
        <w:rPr>
          <w:rFonts w:ascii="仿宋_GB2312" w:hint="eastAsia"/>
          <w:szCs w:val="32"/>
        </w:rPr>
        <w:t>（一）项目基本情况简介，包括项目基本性质、用途和主要内容、涉及范围等。</w:t>
      </w:r>
    </w:p>
    <w:p w:rsidR="00BE0D78" w:rsidRDefault="00BE0D78" w:rsidP="00305B2D">
      <w:pPr>
        <w:topLinePunct/>
        <w:ind w:firstLineChars="200" w:firstLine="31680"/>
        <w:rPr>
          <w:rFonts w:ascii="仿宋_GB2312"/>
          <w:szCs w:val="32"/>
        </w:rPr>
      </w:pPr>
      <w:r w:rsidRPr="007935D7">
        <w:rPr>
          <w:rFonts w:ascii="仿宋_GB2312" w:hint="eastAsia"/>
          <w:szCs w:val="32"/>
        </w:rPr>
        <w:t>被征</w:t>
      </w:r>
      <w:r>
        <w:rPr>
          <w:rFonts w:ascii="仿宋_GB2312" w:hint="eastAsia"/>
          <w:szCs w:val="32"/>
        </w:rPr>
        <w:t>地人员基本养老保险和城乡居民基本养老保险工作经费是为了保障被征地人员基本养老保险和城乡居民基本养老保险在参保经办、缴费、待遇发放、关系转移、生存认证和政策宣传及业务培训等方面的经费保障。主要包括：被征地人员基本养老保险宣传材料、缴费登记、申请表册等经费；被征地人员基本养老保险和城乡居民基本养老保险生存认证工作经费；被征地人员基本养老保险和城乡居民基本养老保险经办管理和对街道、社区业务经办人员的业务培训及对广大人民群众的政策宣传的工作费</w:t>
      </w:r>
    </w:p>
    <w:p w:rsidR="00BE0D78" w:rsidRDefault="00BE0D78" w:rsidP="00305B2D">
      <w:pPr>
        <w:topLinePunct/>
        <w:ind w:firstLineChars="200" w:firstLine="31680"/>
        <w:rPr>
          <w:rFonts w:ascii="仿宋_GB2312"/>
          <w:szCs w:val="32"/>
        </w:rPr>
      </w:pPr>
      <w:r>
        <w:rPr>
          <w:rFonts w:ascii="仿宋_GB2312" w:hint="eastAsia"/>
          <w:szCs w:val="32"/>
        </w:rPr>
        <w:t>（二）绩效目标设定及指标完成情况。</w:t>
      </w:r>
    </w:p>
    <w:p w:rsidR="00BE0D78" w:rsidRPr="00305B2D" w:rsidRDefault="00BE0D78" w:rsidP="00305B2D">
      <w:pPr>
        <w:topLinePunct/>
        <w:ind w:firstLineChars="200" w:firstLine="31680"/>
        <w:rPr>
          <w:rFonts w:ascii="仿宋_GB2312"/>
          <w:szCs w:val="32"/>
        </w:rPr>
      </w:pPr>
      <w:r w:rsidRPr="007935D7">
        <w:rPr>
          <w:rFonts w:ascii="仿宋_GB2312"/>
          <w:szCs w:val="32"/>
        </w:rPr>
        <w:t>201</w:t>
      </w:r>
      <w:r>
        <w:rPr>
          <w:rFonts w:ascii="仿宋_GB2312"/>
          <w:szCs w:val="32"/>
        </w:rPr>
        <w:t>9</w:t>
      </w:r>
      <w:r w:rsidRPr="007935D7">
        <w:rPr>
          <w:rFonts w:ascii="仿宋_GB2312" w:hint="eastAsia"/>
          <w:szCs w:val="32"/>
        </w:rPr>
        <w:t>年</w:t>
      </w:r>
      <w:r>
        <w:rPr>
          <w:rFonts w:ascii="仿宋_GB2312" w:hint="eastAsia"/>
          <w:szCs w:val="32"/>
        </w:rPr>
        <w:t>呈贡区城乡居民社会养老保险局被征地人员基本养老保险和城乡居民基本养老保险工作经费完成支出</w:t>
      </w:r>
      <w:r>
        <w:rPr>
          <w:rFonts w:ascii="仿宋_GB2312"/>
          <w:szCs w:val="32"/>
        </w:rPr>
        <w:t>409894</w:t>
      </w:r>
      <w:r>
        <w:rPr>
          <w:rFonts w:ascii="仿宋_GB2312" w:hint="eastAsia"/>
          <w:szCs w:val="32"/>
        </w:rPr>
        <w:t>元（财政授权支付）。通过被征地人员基本养老保险和城乡居民基本养老保险工作经费的支出，保障了</w:t>
      </w:r>
      <w:r>
        <w:rPr>
          <w:rFonts w:ascii="仿宋_GB2312"/>
          <w:szCs w:val="32"/>
        </w:rPr>
        <w:t>2019</w:t>
      </w:r>
      <w:r>
        <w:rPr>
          <w:rFonts w:ascii="仿宋_GB2312" w:hint="eastAsia"/>
          <w:szCs w:val="32"/>
        </w:rPr>
        <w:t>年度呈贡区城乡居民社会养老保险局完成被征地人员基本养老保险、城乡居民基本养老保险参保登记、保险费收缴、养老待遇发放、养老关系变更、转移和终止等业务的经办。全年完成被征地人员基本养老保险累计参保</w:t>
      </w:r>
      <w:r>
        <w:rPr>
          <w:rFonts w:ascii="仿宋_GB2312"/>
          <w:szCs w:val="32"/>
        </w:rPr>
        <w:t>25973</w:t>
      </w:r>
      <w:r>
        <w:rPr>
          <w:rFonts w:ascii="仿宋_GB2312" w:hint="eastAsia"/>
          <w:szCs w:val="32"/>
        </w:rPr>
        <w:t>人，累计收取养老保险费</w:t>
      </w:r>
      <w:r>
        <w:rPr>
          <w:rFonts w:ascii="仿宋_GB2312"/>
          <w:szCs w:val="32"/>
        </w:rPr>
        <w:t>77414</w:t>
      </w:r>
      <w:r>
        <w:rPr>
          <w:rFonts w:ascii="仿宋_GB2312" w:hint="eastAsia"/>
          <w:szCs w:val="32"/>
        </w:rPr>
        <w:t>万元，</w:t>
      </w:r>
      <w:r>
        <w:rPr>
          <w:rFonts w:ascii="仿宋_GB2312"/>
          <w:szCs w:val="32"/>
        </w:rPr>
        <w:t>12</w:t>
      </w:r>
      <w:r>
        <w:rPr>
          <w:rFonts w:ascii="仿宋_GB2312" w:hint="eastAsia"/>
          <w:szCs w:val="32"/>
        </w:rPr>
        <w:t>月发放养老待遇人数</w:t>
      </w:r>
      <w:r>
        <w:rPr>
          <w:rFonts w:ascii="仿宋_GB2312"/>
          <w:szCs w:val="32"/>
        </w:rPr>
        <w:t>22924</w:t>
      </w:r>
      <w:r>
        <w:rPr>
          <w:rFonts w:ascii="仿宋_GB2312" w:hint="eastAsia"/>
          <w:szCs w:val="32"/>
        </w:rPr>
        <w:t>人，</w:t>
      </w:r>
      <w:r>
        <w:rPr>
          <w:rFonts w:ascii="仿宋_GB2312"/>
          <w:szCs w:val="32"/>
        </w:rPr>
        <w:t>12</w:t>
      </w:r>
      <w:r>
        <w:rPr>
          <w:rFonts w:ascii="仿宋_GB2312" w:hint="eastAsia"/>
          <w:szCs w:val="32"/>
        </w:rPr>
        <w:t>月发放养老待遇</w:t>
      </w:r>
      <w:r>
        <w:rPr>
          <w:rFonts w:ascii="仿宋_GB2312"/>
          <w:szCs w:val="32"/>
        </w:rPr>
        <w:t>9909052.28</w:t>
      </w:r>
      <w:r>
        <w:rPr>
          <w:rFonts w:ascii="仿宋_GB2312" w:hint="eastAsia"/>
          <w:szCs w:val="32"/>
        </w:rPr>
        <w:t>元，最大参保年龄</w:t>
      </w:r>
      <w:r>
        <w:rPr>
          <w:rFonts w:ascii="仿宋_GB2312"/>
          <w:szCs w:val="32"/>
        </w:rPr>
        <w:t>101</w:t>
      </w:r>
      <w:r>
        <w:rPr>
          <w:rFonts w:ascii="仿宋_GB2312" w:hint="eastAsia"/>
          <w:szCs w:val="32"/>
        </w:rPr>
        <w:t>岁，最小参保年龄</w:t>
      </w:r>
      <w:r>
        <w:rPr>
          <w:rFonts w:ascii="仿宋_GB2312"/>
          <w:szCs w:val="32"/>
        </w:rPr>
        <w:t>23</w:t>
      </w:r>
      <w:r>
        <w:rPr>
          <w:rFonts w:ascii="仿宋_GB2312" w:hint="eastAsia"/>
          <w:szCs w:val="32"/>
        </w:rPr>
        <w:t>岁，最高参保金额</w:t>
      </w:r>
      <w:r>
        <w:rPr>
          <w:rFonts w:ascii="仿宋_GB2312"/>
          <w:szCs w:val="32"/>
        </w:rPr>
        <w:t>61920</w:t>
      </w:r>
      <w:r>
        <w:rPr>
          <w:rFonts w:ascii="仿宋_GB2312" w:hint="eastAsia"/>
          <w:szCs w:val="32"/>
        </w:rPr>
        <w:t>元。全年完成被征地人员基本养老保险退补</w:t>
      </w:r>
      <w:r>
        <w:rPr>
          <w:rFonts w:ascii="仿宋_GB2312"/>
          <w:szCs w:val="32"/>
        </w:rPr>
        <w:t>15000</w:t>
      </w:r>
      <w:r>
        <w:rPr>
          <w:rFonts w:ascii="仿宋_GB2312" w:hint="eastAsia"/>
          <w:szCs w:val="32"/>
        </w:rPr>
        <w:t>余人，退补资金</w:t>
      </w:r>
      <w:r>
        <w:rPr>
          <w:rFonts w:ascii="仿宋_GB2312"/>
          <w:szCs w:val="32"/>
        </w:rPr>
        <w:t>64764015.91</w:t>
      </w:r>
      <w:r>
        <w:rPr>
          <w:rFonts w:ascii="仿宋_GB2312" w:hint="eastAsia"/>
          <w:szCs w:val="32"/>
        </w:rPr>
        <w:t>元。全年完成城乡居民基本养老保险参保人数</w:t>
      </w:r>
      <w:r>
        <w:rPr>
          <w:rFonts w:ascii="仿宋_GB2312"/>
          <w:szCs w:val="32"/>
        </w:rPr>
        <w:t>53484</w:t>
      </w:r>
      <w:r>
        <w:rPr>
          <w:rFonts w:ascii="仿宋_GB2312" w:hint="eastAsia"/>
          <w:szCs w:val="32"/>
        </w:rPr>
        <w:t>人，收取养老保险费</w:t>
      </w:r>
      <w:r>
        <w:rPr>
          <w:rFonts w:ascii="仿宋_GB2312"/>
          <w:szCs w:val="32"/>
        </w:rPr>
        <w:t>12126100</w:t>
      </w:r>
      <w:r>
        <w:rPr>
          <w:rFonts w:ascii="仿宋_GB2312" w:hint="eastAsia"/>
          <w:szCs w:val="32"/>
        </w:rPr>
        <w:t>元，养老保险待遇领取人数</w:t>
      </w:r>
      <w:r>
        <w:rPr>
          <w:rFonts w:ascii="仿宋_GB2312"/>
          <w:szCs w:val="32"/>
        </w:rPr>
        <w:t>12198</w:t>
      </w:r>
      <w:r>
        <w:rPr>
          <w:rFonts w:ascii="仿宋_GB2312" w:hint="eastAsia"/>
          <w:szCs w:val="32"/>
        </w:rPr>
        <w:t>人，</w:t>
      </w:r>
      <w:r>
        <w:rPr>
          <w:rFonts w:ascii="仿宋_GB2312"/>
          <w:szCs w:val="32"/>
        </w:rPr>
        <w:t>12</w:t>
      </w:r>
      <w:r>
        <w:rPr>
          <w:rFonts w:ascii="仿宋_GB2312" w:hint="eastAsia"/>
          <w:szCs w:val="32"/>
        </w:rPr>
        <w:t>月领取养老保险待遇</w:t>
      </w:r>
      <w:r>
        <w:rPr>
          <w:rFonts w:ascii="仿宋_GB2312"/>
          <w:szCs w:val="32"/>
        </w:rPr>
        <w:t>2099526.66</w:t>
      </w:r>
      <w:r>
        <w:rPr>
          <w:rFonts w:ascii="仿宋_GB2312" w:hint="eastAsia"/>
          <w:szCs w:val="32"/>
        </w:rPr>
        <w:t>元，全年养老保险待遇支出</w:t>
      </w:r>
      <w:r>
        <w:rPr>
          <w:rFonts w:ascii="仿宋_GB2312"/>
          <w:szCs w:val="32"/>
        </w:rPr>
        <w:t>20587751.05</w:t>
      </w:r>
      <w:r>
        <w:rPr>
          <w:rFonts w:ascii="仿宋_GB2312" w:hint="eastAsia"/>
          <w:szCs w:val="32"/>
        </w:rPr>
        <w:t>元，全面完成了年初区委、区政府下达给区城乡居民社会养老保险局的目标任务。解决了失地农民的后顾之忧，使城乡居民养老保险政策家喻户晓，人人皆知，养老保险政策深入人心。</w:t>
      </w:r>
    </w:p>
    <w:p w:rsidR="00BE0D78" w:rsidRDefault="00BE0D78" w:rsidP="00305B2D">
      <w:pPr>
        <w:topLinePunct/>
        <w:ind w:firstLineChars="200" w:firstLine="31680"/>
        <w:outlineLvl w:val="0"/>
        <w:rPr>
          <w:rFonts w:ascii="黑体" w:eastAsia="黑体"/>
          <w:szCs w:val="32"/>
        </w:rPr>
      </w:pPr>
      <w:r>
        <w:rPr>
          <w:rFonts w:ascii="黑体" w:eastAsia="黑体" w:hint="eastAsia"/>
          <w:szCs w:val="32"/>
        </w:rPr>
        <w:t>二、项目资金使用及管理情况</w:t>
      </w:r>
    </w:p>
    <w:p w:rsidR="00BE0D78" w:rsidRDefault="00BE0D78" w:rsidP="00305B2D">
      <w:pPr>
        <w:topLinePunct/>
        <w:ind w:firstLineChars="200" w:firstLine="31680"/>
        <w:rPr>
          <w:rFonts w:ascii="仿宋_GB2312" w:cs="仿宋_GB2312"/>
          <w:szCs w:val="32"/>
        </w:rPr>
      </w:pPr>
      <w:r>
        <w:rPr>
          <w:rFonts w:ascii="仿宋_GB2312" w:hAnsi="仿宋_GB2312" w:cs="仿宋_GB2312" w:hint="eastAsia"/>
          <w:szCs w:val="32"/>
        </w:rPr>
        <w:t>项目资金（包括公共财政预算资金、政府性基金、财政专户资金、自筹资金等）安排落实、总投入等情况分析。项目资金（主要是指财政拨款）实际使用情况分析。项目资金管理情况（包括管理制度、办法的制订及执行情况）分析。</w:t>
      </w:r>
    </w:p>
    <w:p w:rsidR="00BE0D78" w:rsidRPr="00305B2D" w:rsidRDefault="00BE0D78" w:rsidP="00305B2D">
      <w:pPr>
        <w:topLinePunct/>
        <w:ind w:firstLineChars="200" w:firstLine="31680"/>
        <w:rPr>
          <w:rFonts w:ascii="仿宋_GB2312" w:cs="仿宋_GB2312"/>
          <w:color w:val="FF0000"/>
          <w:szCs w:val="32"/>
        </w:rPr>
      </w:pPr>
      <w:r>
        <w:rPr>
          <w:rFonts w:ascii="仿宋_GB2312"/>
          <w:szCs w:val="32"/>
        </w:rPr>
        <w:t>2019</w:t>
      </w:r>
      <w:r w:rsidRPr="007935D7">
        <w:rPr>
          <w:rFonts w:ascii="仿宋_GB2312" w:hint="eastAsia"/>
          <w:szCs w:val="32"/>
        </w:rPr>
        <w:t>年</w:t>
      </w:r>
      <w:r>
        <w:rPr>
          <w:rFonts w:ascii="仿宋_GB2312" w:hint="eastAsia"/>
          <w:szCs w:val="32"/>
        </w:rPr>
        <w:t>呈贡区城乡居民社会养老保险局被征地人员基本养老保险和城乡居民基本养老保险工作经费完成支出</w:t>
      </w:r>
      <w:r>
        <w:rPr>
          <w:rFonts w:ascii="仿宋_GB2312"/>
          <w:szCs w:val="32"/>
        </w:rPr>
        <w:t>409894</w:t>
      </w:r>
      <w:r>
        <w:rPr>
          <w:rFonts w:ascii="仿宋_GB2312" w:hint="eastAsia"/>
          <w:szCs w:val="32"/>
        </w:rPr>
        <w:t>元。被征地人员基本养老保险和城乡居民基本养老保险工作经费是区城乡居民社会养老保险局根据被征地人员基本养老保险和城乡居民社会保险的参保缴费、养老金待遇发放、养老保险退保及死亡一次性丧葬补助业务经办，对街道、社区经办人员进行政策业务培训支出的工作经费。工作经费的支出严格依照工作业务进度，向区财政申请工作经费，严格按照财务制度和财经纪律和内部控制制度及审批程序支出经费</w:t>
      </w:r>
    </w:p>
    <w:p w:rsidR="00BE0D78" w:rsidRDefault="00BE0D78" w:rsidP="00305B2D">
      <w:pPr>
        <w:topLinePunct/>
        <w:ind w:firstLineChars="200" w:firstLine="31680"/>
        <w:outlineLvl w:val="0"/>
        <w:rPr>
          <w:rFonts w:ascii="黑体" w:eastAsia="黑体"/>
          <w:szCs w:val="32"/>
        </w:rPr>
      </w:pPr>
      <w:r>
        <w:rPr>
          <w:rFonts w:ascii="黑体" w:eastAsia="黑体" w:hint="eastAsia"/>
          <w:szCs w:val="32"/>
        </w:rPr>
        <w:t>三、项目组织实施情况</w:t>
      </w:r>
    </w:p>
    <w:p w:rsidR="00BE0D78" w:rsidRDefault="00BE0D78" w:rsidP="00305B2D">
      <w:pPr>
        <w:topLinePunct/>
        <w:ind w:firstLineChars="200" w:firstLine="31680"/>
        <w:rPr>
          <w:rFonts w:ascii="仿宋_GB2312" w:cs="仿宋_GB2312"/>
          <w:szCs w:val="32"/>
        </w:rPr>
      </w:pPr>
      <w:r>
        <w:rPr>
          <w:rFonts w:ascii="仿宋_GB2312" w:hAnsi="仿宋_GB2312" w:cs="仿宋_GB2312" w:hint="eastAsia"/>
          <w:szCs w:val="32"/>
        </w:rPr>
        <w:t>项目组织情况分析，主要包括项目前期准备、招投标、调整、竣工验收等情况。项目管理情况分析，主要包括项目管理制度、办法的制订、日常检查监督管理等情况。</w:t>
      </w:r>
    </w:p>
    <w:p w:rsidR="00BE0D78" w:rsidRDefault="00BE0D78" w:rsidP="00305B2D">
      <w:pPr>
        <w:topLinePunct/>
        <w:ind w:firstLineChars="200" w:firstLine="31680"/>
        <w:rPr>
          <w:rFonts w:ascii="仿宋_GB2312"/>
          <w:szCs w:val="32"/>
        </w:rPr>
      </w:pPr>
      <w:r>
        <w:rPr>
          <w:rFonts w:ascii="仿宋_GB2312"/>
          <w:szCs w:val="32"/>
        </w:rPr>
        <w:t>2019</w:t>
      </w:r>
      <w:r>
        <w:rPr>
          <w:rFonts w:ascii="仿宋_GB2312" w:hint="eastAsia"/>
          <w:szCs w:val="32"/>
        </w:rPr>
        <w:t>年呈贡区城乡居民社会养老保险局结合本部门工作实际，年初拟定工作计划，做到早计划早安排，各项工作提前谋划，各项资金按工作开展进度使用，财政资金使用进度排在全区前列。</w:t>
      </w:r>
    </w:p>
    <w:p w:rsidR="00BE0D78" w:rsidRPr="00305B2D" w:rsidRDefault="00BE0D78" w:rsidP="00305B2D">
      <w:pPr>
        <w:topLinePunct/>
        <w:ind w:firstLineChars="200" w:firstLine="31680"/>
        <w:rPr>
          <w:rFonts w:ascii="仿宋_GB2312"/>
          <w:szCs w:val="32"/>
        </w:rPr>
      </w:pPr>
      <w:r>
        <w:rPr>
          <w:rFonts w:ascii="仿宋_GB2312"/>
          <w:szCs w:val="32"/>
        </w:rPr>
        <w:t>2019</w:t>
      </w:r>
      <w:r>
        <w:rPr>
          <w:rFonts w:ascii="仿宋_GB2312" w:hint="eastAsia"/>
          <w:szCs w:val="32"/>
        </w:rPr>
        <w:t>年呈贡区城乡居民社会养老保险局在区委、区政府的正确领导下认真开展被征地人员基本养老保险、城乡居民养老保险的参保登记，养老保险费的征缴，养老待遇的发放、养老关系的变更、转移、终止和养老保险档案等工作，圆满完成了市城乡居民社会养老保险局及区委、区政府下达给我局的目标任务。</w:t>
      </w:r>
    </w:p>
    <w:p w:rsidR="00BE0D78" w:rsidRDefault="00BE0D78" w:rsidP="00305B2D">
      <w:pPr>
        <w:topLinePunct/>
        <w:ind w:firstLineChars="200" w:firstLine="31680"/>
        <w:outlineLvl w:val="0"/>
        <w:rPr>
          <w:rFonts w:ascii="黑体" w:eastAsia="黑体"/>
          <w:szCs w:val="32"/>
        </w:rPr>
      </w:pPr>
      <w:r>
        <w:rPr>
          <w:rFonts w:ascii="黑体" w:eastAsia="黑体" w:hint="eastAsia"/>
          <w:szCs w:val="32"/>
        </w:rPr>
        <w:t>四、项目绩效情况</w:t>
      </w:r>
    </w:p>
    <w:p w:rsidR="00BE0D78" w:rsidRDefault="00BE0D78" w:rsidP="00305B2D">
      <w:pPr>
        <w:topLinePunct/>
        <w:ind w:firstLineChars="200" w:firstLine="31680"/>
        <w:rPr>
          <w:rFonts w:ascii="仿宋_GB2312"/>
          <w:szCs w:val="32"/>
        </w:rPr>
      </w:pPr>
      <w:r>
        <w:rPr>
          <w:rFonts w:ascii="仿宋_GB2312" w:hint="eastAsia"/>
          <w:szCs w:val="32"/>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rsidR="00BE0D78" w:rsidRDefault="00BE0D78" w:rsidP="00305B2D">
      <w:pPr>
        <w:topLinePunct/>
        <w:ind w:firstLineChars="200" w:firstLine="31680"/>
        <w:rPr>
          <w:rFonts w:ascii="仿宋_GB2312"/>
          <w:szCs w:val="32"/>
        </w:rPr>
      </w:pPr>
      <w:r>
        <w:rPr>
          <w:rFonts w:ascii="仿宋_GB2312" w:hint="eastAsia"/>
          <w:szCs w:val="32"/>
        </w:rPr>
        <w:t>呈贡区城乡居民社会养老保险局通过开展被征地人员基本养老保险和城乡居民社会养老保险工作经费预算绩效管理，了解我单位</w:t>
      </w:r>
      <w:r>
        <w:rPr>
          <w:rFonts w:ascii="仿宋_GB2312"/>
          <w:szCs w:val="32"/>
        </w:rPr>
        <w:t>2019</w:t>
      </w:r>
      <w:r>
        <w:rPr>
          <w:rFonts w:ascii="仿宋_GB2312" w:hint="eastAsia"/>
          <w:szCs w:val="32"/>
        </w:rPr>
        <w:t>年度被征地人员基本养老保险和城乡居民基本养老保险预算支出的绩效状况，为今后开展工作及预算资金安排提供决策支持，进一步增强被征地人员基本养老保险和城乡居民基本养老保险工作经费支出管理责任、优化支出结构，提升预算和资金使用管理水平。</w:t>
      </w:r>
    </w:p>
    <w:p w:rsidR="00BE0D78" w:rsidRDefault="00BE0D78" w:rsidP="00305B2D">
      <w:pPr>
        <w:topLinePunct/>
        <w:ind w:firstLineChars="200" w:firstLine="31680"/>
        <w:rPr>
          <w:rFonts w:ascii="仿宋_GB2312"/>
          <w:szCs w:val="32"/>
        </w:rPr>
      </w:pPr>
      <w:r>
        <w:rPr>
          <w:rFonts w:ascii="仿宋_GB2312" w:hint="eastAsia"/>
          <w:szCs w:val="32"/>
        </w:rPr>
        <w:t>通过开展被征地人员基本养老保险和城乡居民基本养老保险绩效评价进一步加强预算绩效管理，提高财政资金的使用效益，促进呈贡区被征地人员基本养老保险和城乡居民基本养老保险工作的有序开展，使被征地人员基本养老保险和城乡居民基本养老保险两项工作有序开展，从而促进两项保险政策在全区范围内家喻户晓，人人皆知，使养老保险政策深入人心，实现我区失地农民养有所养，解决失地农民后顾之忧的目标，为保持呈贡新区和平稳定的发展作出贡献。</w:t>
      </w:r>
    </w:p>
    <w:p w:rsidR="00BE0D78" w:rsidRDefault="00BE0D78" w:rsidP="00305B2D">
      <w:pPr>
        <w:topLinePunct/>
        <w:ind w:firstLineChars="200" w:firstLine="31680"/>
        <w:outlineLvl w:val="0"/>
        <w:rPr>
          <w:rFonts w:ascii="黑体" w:eastAsia="黑体"/>
          <w:szCs w:val="32"/>
        </w:rPr>
      </w:pPr>
      <w:r>
        <w:rPr>
          <w:rFonts w:ascii="黑体" w:eastAsia="黑体" w:hint="eastAsia"/>
          <w:szCs w:val="32"/>
        </w:rPr>
        <w:t>五、存在的问题</w:t>
      </w:r>
    </w:p>
    <w:p w:rsidR="00BE0D78" w:rsidRDefault="00BE0D78" w:rsidP="00305B2D">
      <w:pPr>
        <w:topLinePunct/>
        <w:ind w:firstLineChars="200" w:firstLine="31680"/>
        <w:rPr>
          <w:rFonts w:ascii="仿宋_GB2312" w:hAnsi="Times New Roman"/>
          <w:szCs w:val="32"/>
        </w:rPr>
      </w:pPr>
      <w:r>
        <w:rPr>
          <w:rFonts w:ascii="仿宋_GB2312" w:hAnsi="Times New Roman" w:hint="eastAsia"/>
          <w:szCs w:val="32"/>
        </w:rPr>
        <w:t>一是政策宣传还不够完全到位，参保</w:t>
      </w:r>
      <w:r w:rsidRPr="00016194">
        <w:rPr>
          <w:rFonts w:ascii="仿宋_GB2312" w:hAnsi="Times New Roman" w:hint="eastAsia"/>
          <w:szCs w:val="32"/>
        </w:rPr>
        <w:t>积极性不高</w:t>
      </w:r>
      <w:r>
        <w:rPr>
          <w:rFonts w:ascii="仿宋_GB2312" w:hAnsi="Times New Roman" w:hint="eastAsia"/>
          <w:szCs w:val="32"/>
        </w:rPr>
        <w:t>，缴费档次较低。</w:t>
      </w:r>
    </w:p>
    <w:p w:rsidR="00BE0D78" w:rsidRPr="005F12FF" w:rsidRDefault="00BE0D78" w:rsidP="00305B2D">
      <w:pPr>
        <w:topLinePunct/>
        <w:ind w:firstLineChars="200" w:firstLine="31680"/>
        <w:rPr>
          <w:rFonts w:ascii="仿宋_GB2312"/>
          <w:color w:val="FF0000"/>
          <w:szCs w:val="32"/>
        </w:rPr>
      </w:pPr>
      <w:r>
        <w:rPr>
          <w:rFonts w:ascii="仿宋_GB2312" w:hint="eastAsia"/>
          <w:szCs w:val="32"/>
        </w:rPr>
        <w:t>二</w:t>
      </w:r>
      <w:r w:rsidRPr="008F7D7C">
        <w:rPr>
          <w:rFonts w:ascii="仿宋_GB2312" w:hint="eastAsia"/>
          <w:szCs w:val="32"/>
        </w:rPr>
        <w:t>是部分社区基</w:t>
      </w:r>
      <w:r>
        <w:rPr>
          <w:rFonts w:ascii="仿宋_GB2312" w:hint="eastAsia"/>
          <w:szCs w:val="32"/>
        </w:rPr>
        <w:t>层</w:t>
      </w:r>
      <w:r w:rsidRPr="008F7D7C">
        <w:rPr>
          <w:rFonts w:ascii="仿宋_GB2312" w:hint="eastAsia"/>
          <w:szCs w:val="32"/>
        </w:rPr>
        <w:t>建设还比较薄弱，工作人员变动频繁，业务素质急需提高，数据采集不够规范，各街道办事处、社区之间工作进度不一致，影响了整体进度</w:t>
      </w:r>
      <w:r>
        <w:rPr>
          <w:rFonts w:ascii="仿宋_GB2312" w:hint="eastAsia"/>
          <w:szCs w:val="32"/>
        </w:rPr>
        <w:t>。</w:t>
      </w:r>
    </w:p>
    <w:p w:rsidR="00BE0D78" w:rsidRDefault="00BE0D78" w:rsidP="00305B2D">
      <w:pPr>
        <w:topLinePunct/>
        <w:ind w:firstLineChars="200" w:firstLine="31680"/>
        <w:rPr>
          <w:rFonts w:ascii="黑体" w:eastAsia="黑体"/>
          <w:szCs w:val="32"/>
        </w:rPr>
      </w:pPr>
      <w:r>
        <w:rPr>
          <w:rFonts w:ascii="黑体" w:eastAsia="黑体" w:hint="eastAsia"/>
          <w:szCs w:val="32"/>
        </w:rPr>
        <w:t>六、其他需要说明的问题</w:t>
      </w:r>
    </w:p>
    <w:p w:rsidR="00BE0D78" w:rsidRPr="00B62161" w:rsidRDefault="00BE0D78" w:rsidP="00305B2D">
      <w:pPr>
        <w:topLinePunct/>
        <w:ind w:firstLineChars="200" w:firstLine="31680"/>
        <w:rPr>
          <w:rFonts w:ascii="仿宋_GB2312"/>
          <w:color w:val="FF0000"/>
          <w:szCs w:val="32"/>
        </w:rPr>
      </w:pPr>
      <w:r>
        <w:rPr>
          <w:rFonts w:ascii="仿宋_GB2312" w:hint="eastAsia"/>
          <w:szCs w:val="32"/>
        </w:rPr>
        <w:t>今后我局要在区委、区政府的正确领导下，按照昆明市政府第</w:t>
      </w:r>
      <w:r>
        <w:rPr>
          <w:rFonts w:ascii="仿宋_GB2312"/>
          <w:szCs w:val="32"/>
        </w:rPr>
        <w:t>13</w:t>
      </w:r>
      <w:r>
        <w:rPr>
          <w:rFonts w:ascii="仿宋_GB2312" w:hint="eastAsia"/>
          <w:szCs w:val="32"/>
        </w:rPr>
        <w:t>号公告和《呈贡区提高被征地人员基本养老保险个人缴费补助办法》的要求，加大宣传力度，使被征地人员基本养老保险和城乡居民基本养老保险政策家喻户晓，人人皆知，使被征地人员养老保险和城乡居民养老保险政策深入人心，不断提高参保率。加强对区级、街道、社区经办人员的培训，增加强各级经办人员的业务水平，以便更多的为被征地人员养老保险工作服务</w:t>
      </w:r>
    </w:p>
    <w:p w:rsidR="00BE0D78" w:rsidRDefault="00BE0D78" w:rsidP="00305B2D">
      <w:pPr>
        <w:rPr>
          <w:color w:val="FF0000"/>
        </w:rPr>
      </w:pPr>
    </w:p>
    <w:p w:rsidR="00BE0D78" w:rsidRPr="008472AA" w:rsidRDefault="00BE0D78" w:rsidP="00305B2D">
      <w:pPr>
        <w:ind w:firstLineChars="975" w:firstLine="31680"/>
      </w:pPr>
      <w:r w:rsidRPr="008472AA">
        <w:rPr>
          <w:rFonts w:hint="eastAsia"/>
        </w:rPr>
        <w:t>呈贡区城乡居民社会养老保险局</w:t>
      </w:r>
    </w:p>
    <w:p w:rsidR="00BE0D78" w:rsidRPr="008472AA" w:rsidRDefault="00BE0D78" w:rsidP="00305B2D">
      <w:pPr>
        <w:ind w:firstLineChars="1407" w:firstLine="31680"/>
      </w:pPr>
      <w:r w:rsidRPr="008472AA">
        <w:t>20</w:t>
      </w:r>
      <w:r>
        <w:t>20</w:t>
      </w:r>
      <w:r w:rsidRPr="008472AA">
        <w:rPr>
          <w:rFonts w:hint="eastAsia"/>
        </w:rPr>
        <w:t>年</w:t>
      </w:r>
      <w:r>
        <w:t>3</w:t>
      </w:r>
      <w:r w:rsidRPr="008472AA">
        <w:rPr>
          <w:rFonts w:hint="eastAsia"/>
        </w:rPr>
        <w:t>月</w:t>
      </w:r>
      <w:r>
        <w:t>26</w:t>
      </w:r>
      <w:r w:rsidRPr="008472AA">
        <w:rPr>
          <w:rFonts w:hint="eastAsia"/>
        </w:rPr>
        <w:t>日</w:t>
      </w:r>
    </w:p>
    <w:p w:rsidR="00BE0D78" w:rsidRDefault="00BE0D78" w:rsidP="00305B2D"/>
    <w:p w:rsidR="00BE0D78" w:rsidRDefault="00BE0D78" w:rsidP="00305B2D">
      <w:pPr>
        <w:topLinePunct/>
        <w:ind w:firstLineChars="200" w:firstLine="31680"/>
      </w:pPr>
    </w:p>
    <w:sectPr w:rsidR="00BE0D78" w:rsidSect="00846571">
      <w:pgSz w:w="11906" w:h="16838"/>
      <w:pgMar w:top="1723" w:right="1800" w:bottom="1723" w:left="1800" w:header="851" w:footer="992" w:gutter="0"/>
      <w:cols w:space="0"/>
      <w:docGrid w:type="linesAndChars" w:linePitch="608" w:charSpace="-478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48"/>
  <w:drawingGridVerticalSpacing w:val="304"/>
  <w:displayHorizontalDrawingGridEvery w:val="2"/>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6571"/>
    <w:rsid w:val="00016194"/>
    <w:rsid w:val="00305B2D"/>
    <w:rsid w:val="005F12FF"/>
    <w:rsid w:val="007935D7"/>
    <w:rsid w:val="00846571"/>
    <w:rsid w:val="008472AA"/>
    <w:rsid w:val="008F7D7C"/>
    <w:rsid w:val="00B62161"/>
    <w:rsid w:val="00BE0D78"/>
    <w:rsid w:val="00C7271B"/>
    <w:rsid w:val="00D12FFC"/>
    <w:rsid w:val="05AE36CA"/>
    <w:rsid w:val="378A5996"/>
    <w:rsid w:val="5A3C6978"/>
    <w:rsid w:val="6760081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571"/>
    <w:pPr>
      <w:widowControl w:val="0"/>
      <w:jc w:val="both"/>
    </w:pPr>
    <w:rPr>
      <w:rFonts w:eastAsia="仿宋_GB2312"/>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305B2D"/>
    <w:pPr>
      <w:shd w:val="clear" w:color="auto" w:fill="000080"/>
    </w:pPr>
  </w:style>
  <w:style w:type="character" w:customStyle="1" w:styleId="DocumentMapChar">
    <w:name w:val="Document Map Char"/>
    <w:basedOn w:val="DefaultParagraphFont"/>
    <w:link w:val="DocumentMap"/>
    <w:uiPriority w:val="99"/>
    <w:semiHidden/>
    <w:rsid w:val="000E596C"/>
    <w:rPr>
      <w:rFonts w:ascii="Times New Roman" w:eastAsia="仿宋_GB2312"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5</Pages>
  <Words>368</Words>
  <Characters>2101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jyjcg</dc:creator>
  <cp:keywords/>
  <dc:description/>
  <cp:lastModifiedBy>China</cp:lastModifiedBy>
  <cp:revision>2</cp:revision>
  <dcterms:created xsi:type="dcterms:W3CDTF">2014-10-29T12:08:00Z</dcterms:created>
  <dcterms:modified xsi:type="dcterms:W3CDTF">2020-03-26T02:56:00Z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