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22" w:rsidRDefault="00072B2D">
      <w:pPr>
        <w:jc w:val="left"/>
      </w:pPr>
      <w:r>
        <w:rPr>
          <w:rFonts w:ascii="仿宋_GB2312" w:hAnsi="华文中宋" w:hint="eastAsia"/>
          <w:bCs/>
          <w:szCs w:val="32"/>
        </w:rPr>
        <w:t>附件4-4:</w:t>
      </w:r>
      <w:r w:rsidR="00053422" w:rsidRPr="00053422">
        <w:rPr>
          <w:rFonts w:hint="eastAsia"/>
        </w:rPr>
        <w:t xml:space="preserve"> </w:t>
      </w:r>
    </w:p>
    <w:p w:rsidR="00072B2D" w:rsidRPr="00053422" w:rsidRDefault="001E181D" w:rsidP="0005342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小古城社区土地征收及租用</w:t>
      </w:r>
      <w:r w:rsidR="00072B2D" w:rsidRPr="00053422">
        <w:rPr>
          <w:rFonts w:ascii="方正小标宋简体" w:eastAsia="方正小标宋简体" w:hint="eastAsia"/>
          <w:sz w:val="36"/>
          <w:szCs w:val="36"/>
        </w:rPr>
        <w:t>项目支出绩效评价报告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一、基本情况</w:t>
      </w:r>
    </w:p>
    <w:p w:rsidR="003A792F" w:rsidRPr="008C24F0" w:rsidRDefault="00EE7BCC" w:rsidP="00EE7BCC">
      <w:pPr>
        <w:spacing w:line="640" w:lineRule="exact"/>
        <w:ind w:leftChars="6" w:left="18" w:firstLine="60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szCs w:val="32"/>
        </w:rPr>
        <w:t>按照呈贡区二届区委第107次常委会会议纪要（2019年第15期）及昆明市呈贡区第三届人民政府第100次常务会议纪要（2019年第18期）要求，对</w:t>
      </w:r>
      <w:r>
        <w:rPr>
          <w:rFonts w:ascii="仿宋_GB2312" w:hAnsi="仿宋" w:hint="eastAsia"/>
          <w:color w:val="000000"/>
          <w:szCs w:val="32"/>
        </w:rPr>
        <w:t>小古城社区居民委员会第二、四居民小组（小古城村）昆洛路以西集体土地641.359亩进行一次性补偿，</w:t>
      </w:r>
      <w:r>
        <w:rPr>
          <w:rFonts w:ascii="仿宋_GB2312" w:hint="eastAsia"/>
          <w:szCs w:val="32"/>
        </w:rPr>
        <w:t>生态隔离带建设项目需租用斗南道办事处小古城社区居委会第二、第四居民小组集体土地</w:t>
      </w:r>
      <w:r w:rsidRPr="00EE7BCC">
        <w:rPr>
          <w:rFonts w:ascii="仿宋_GB2312" w:hint="eastAsia"/>
          <w:szCs w:val="32"/>
        </w:rPr>
        <w:t>455.372</w:t>
      </w:r>
      <w:r>
        <w:rPr>
          <w:rFonts w:ascii="仿宋_GB2312" w:hint="eastAsia"/>
          <w:szCs w:val="32"/>
        </w:rPr>
        <w:t>亩（租用土地期限拾年）。</w:t>
      </w:r>
    </w:p>
    <w:p w:rsidR="00072B2D" w:rsidRDefault="00072B2D" w:rsidP="0005342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二、项目单位绩效报告情况。</w:t>
      </w:r>
    </w:p>
    <w:p w:rsidR="00F44082" w:rsidRDefault="00F44082" w:rsidP="00F44082">
      <w:pPr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土地补偿费及土地租金按小古城社区分配方案已兑付给社区居民。对小古城社区集体农用地进行一次性补偿和租用，确保了小古城社区“大棚房”拆除后土地管理规范、合理利用，杜绝产生新的违法用地，保障了社区居民切身利益，维护社区社会和谐稳定</w:t>
      </w:r>
      <w:r w:rsidR="00623EA3">
        <w:rPr>
          <w:rFonts w:ascii="仿宋_GB2312" w:hint="eastAsia"/>
          <w:szCs w:val="32"/>
        </w:rPr>
        <w:t>，确保生态隔离带充分发挥生态绿色涵养功能。</w:t>
      </w:r>
    </w:p>
    <w:p w:rsidR="003B05DF" w:rsidRDefault="003B05DF" w:rsidP="00F44082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三、绩效评价工作情况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（一）绩效评价目的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通过实施财政支出绩效考评，加强财政专项资金及项目支出的“追踪问效”，提高绩效意识、使用财政资金的效益和效率，以实现财政支出绩效考评工作的规范化和制度化。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 xml:space="preserve"> (二)绩效评价原则、评价指标体系、评价方法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1、评价原则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可行性原则：评价工作符合主客观条件，评价内容、方法、步骤和</w:t>
      </w:r>
      <w:r w:rsidRPr="0014186F">
        <w:rPr>
          <w:rFonts w:ascii="仿宋_GB2312" w:hint="eastAsia"/>
          <w:szCs w:val="32"/>
        </w:rPr>
        <w:lastRenderedPageBreak/>
        <w:t>时间节点安排科学合理，具有可操作性。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全面性原则：评价工作全面反映工作概况，包括评价对象、范围、方法、时间、组织实施等内容，明确指标体系和各项指标数据的采集方法和来源。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简明性原则：评价指标逻辑性强、简明扼要、易于理解。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2、评价指标体系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评价指标分为产出指标和效果指标；产出指标包括数量指标和质量指标，效果指标包括经济效益、社会效益、生态效益和可持续性效益指标。在产出指标中，根据被评价项目情况，又细分为若干特性指标（根据项目具体情况制定）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3、评价方法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根据本次被评价项目的特点和具体情况，我们采用了成本效益分析法、因素分析法作为主要评价方法。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楷体" w:eastAsia="楷体" w:hAnsi="楷体"/>
          <w:snapToGrid w:val="0"/>
          <w:kern w:val="0"/>
          <w:szCs w:val="32"/>
        </w:rPr>
      </w:pPr>
      <w:r w:rsidRPr="0014186F">
        <w:rPr>
          <w:rFonts w:ascii="楷体" w:eastAsia="楷体" w:hAnsi="楷体" w:hint="eastAsia"/>
          <w:snapToGrid w:val="0"/>
          <w:kern w:val="0"/>
          <w:szCs w:val="32"/>
        </w:rPr>
        <w:t>（三）绩效评价工作过程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前期准备：成立绩效评价领导小组，由街道主任顾朝飞担任组长，普吉庆副书记担任副组长，成员包括党政综合办主任、街道会计及各办公室负责人。制定绩效评价工作方案。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组织实施：各项目实施单位组织自评，收集整理相关评价资料；评价小组对各部门资金使用情况进行抽查，并根据评价指标计算各项得分，汇总评价结果。</w:t>
      </w:r>
    </w:p>
    <w:p w:rsidR="003B05DF" w:rsidRPr="0014186F" w:rsidRDefault="003B05DF" w:rsidP="003B05DF">
      <w:pPr>
        <w:spacing w:line="560" w:lineRule="exact"/>
        <w:ind w:firstLineChars="200" w:firstLine="599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分析评价：绩效评价小组对评价过程进行总结，对评价的结果和存在的问题，提出相关的政策性建议。为今后开展财政支出绩效评价工作积累经验。</w:t>
      </w:r>
    </w:p>
    <w:p w:rsidR="003B05DF" w:rsidRDefault="003B05DF" w:rsidP="003B05DF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四、绩效评价指标分析情况</w:t>
      </w:r>
    </w:p>
    <w:p w:rsidR="002C496B" w:rsidRDefault="00F8793D" w:rsidP="00861FD9">
      <w:pPr>
        <w:topLinePunct/>
        <w:ind w:firstLineChars="199" w:firstLine="596"/>
        <w:rPr>
          <w:rFonts w:ascii="仿宋_GB2312" w:hAnsi="仿宋" w:hint="eastAsia"/>
          <w:szCs w:val="32"/>
        </w:rPr>
      </w:pPr>
      <w:r>
        <w:rPr>
          <w:rFonts w:ascii="仿宋_GB2312" w:hint="eastAsia"/>
          <w:szCs w:val="32"/>
        </w:rPr>
        <w:t>小古城征地租地工作已到位资金</w:t>
      </w:r>
      <w:r w:rsidR="002C496B">
        <w:rPr>
          <w:rFonts w:ascii="仿宋_GB2312" w:hint="eastAsia"/>
          <w:szCs w:val="32"/>
        </w:rPr>
        <w:t>168606397.74元，共计拨付资金</w:t>
      </w:r>
      <w:r w:rsidR="002C496B">
        <w:rPr>
          <w:rFonts w:ascii="仿宋_GB2312" w:hint="eastAsia"/>
          <w:szCs w:val="32"/>
        </w:rPr>
        <w:lastRenderedPageBreak/>
        <w:t>168511660.21元（其中：</w:t>
      </w:r>
      <w:r w:rsidR="004E5B8D">
        <w:rPr>
          <w:rFonts w:ascii="仿宋_GB2312" w:hint="eastAsia"/>
          <w:szCs w:val="32"/>
        </w:rPr>
        <w:t>拨付小古城社区</w:t>
      </w:r>
      <w:r w:rsidR="002C496B">
        <w:rPr>
          <w:rFonts w:ascii="仿宋_GB2312" w:hint="eastAsia"/>
          <w:szCs w:val="32"/>
        </w:rPr>
        <w:t>土地补偿费</w:t>
      </w:r>
      <w:r w:rsidR="002C496B">
        <w:rPr>
          <w:rFonts w:ascii="仿宋_GB2312" w:hAnsi="仿宋" w:hint="eastAsia"/>
          <w:szCs w:val="32"/>
        </w:rPr>
        <w:t>161532677.74</w:t>
      </w:r>
      <w:r w:rsidR="002C496B" w:rsidRPr="008C24F0">
        <w:rPr>
          <w:rFonts w:ascii="仿宋_GB2312" w:hAnsi="仿宋" w:hint="eastAsia"/>
          <w:color w:val="000000"/>
          <w:szCs w:val="32"/>
        </w:rPr>
        <w:t>元</w:t>
      </w:r>
      <w:r w:rsidR="002C496B">
        <w:rPr>
          <w:rFonts w:ascii="仿宋_GB2312" w:hAnsi="仿宋" w:hint="eastAsia"/>
          <w:color w:val="000000"/>
          <w:szCs w:val="32"/>
        </w:rPr>
        <w:t>，</w:t>
      </w:r>
      <w:r w:rsidR="004E5B8D">
        <w:rPr>
          <w:rFonts w:ascii="仿宋_GB2312" w:hint="eastAsia"/>
          <w:szCs w:val="32"/>
        </w:rPr>
        <w:t>拨付小古城社区</w:t>
      </w:r>
      <w:r w:rsidR="002C496B">
        <w:rPr>
          <w:rFonts w:ascii="仿宋_GB2312" w:hAnsi="仿宋" w:hint="eastAsia"/>
          <w:color w:val="000000"/>
          <w:szCs w:val="32"/>
        </w:rPr>
        <w:t>土地租用费4553720元，</w:t>
      </w:r>
      <w:r w:rsidR="004E5B8D">
        <w:rPr>
          <w:rFonts w:ascii="仿宋_GB2312" w:hint="eastAsia"/>
          <w:szCs w:val="32"/>
        </w:rPr>
        <w:t>拨付小古城社区</w:t>
      </w:r>
      <w:r w:rsidR="002C496B">
        <w:rPr>
          <w:rFonts w:ascii="仿宋_GB2312" w:hAnsi="仿宋" w:hint="eastAsia"/>
          <w:color w:val="000000"/>
          <w:szCs w:val="32"/>
        </w:rPr>
        <w:t>农业基础设施补偿费2405346.9元，</w:t>
      </w:r>
      <w:r w:rsidR="004E5B8D">
        <w:rPr>
          <w:rFonts w:ascii="仿宋_GB2312" w:hAnsi="仿宋" w:hint="eastAsia"/>
          <w:color w:val="000000"/>
          <w:szCs w:val="32"/>
        </w:rPr>
        <w:t>拨付云南迅测科技有限公司</w:t>
      </w:r>
      <w:r w:rsidR="002C496B">
        <w:rPr>
          <w:rFonts w:ascii="仿宋_GB2312" w:hAnsi="仿宋" w:hint="eastAsia"/>
          <w:color w:val="000000"/>
          <w:szCs w:val="32"/>
        </w:rPr>
        <w:t>测绘费11263.2元，</w:t>
      </w:r>
      <w:r w:rsidR="004E5B8D">
        <w:rPr>
          <w:rFonts w:ascii="仿宋_GB2312" w:hAnsi="仿宋" w:hint="eastAsia"/>
          <w:color w:val="000000"/>
          <w:szCs w:val="32"/>
        </w:rPr>
        <w:t>拨付昆明富乙房地产土地评估有限责任公司评估</w:t>
      </w:r>
      <w:r w:rsidR="002C496B">
        <w:rPr>
          <w:rFonts w:ascii="仿宋_GB2312" w:hAnsi="仿宋" w:hint="eastAsia"/>
          <w:color w:val="000000"/>
          <w:szCs w:val="32"/>
        </w:rPr>
        <w:t>评估费8652.37元）</w:t>
      </w:r>
      <w:r w:rsidR="005125DA">
        <w:rPr>
          <w:rFonts w:ascii="仿宋_GB2312" w:hAnsi="仿宋" w:hint="eastAsia"/>
          <w:color w:val="000000"/>
          <w:szCs w:val="32"/>
        </w:rPr>
        <w:t>，剩余资金94737.53元</w:t>
      </w:r>
      <w:r w:rsidR="002C496B">
        <w:rPr>
          <w:rFonts w:ascii="仿宋_GB2312" w:hint="eastAsia"/>
          <w:szCs w:val="32"/>
        </w:rPr>
        <w:t>。</w:t>
      </w:r>
      <w:r w:rsidR="00F44082" w:rsidRPr="00231FD1">
        <w:rPr>
          <w:rFonts w:ascii="仿宋_GB2312" w:hAnsi="仿宋" w:cs="仿宋" w:hint="eastAsia"/>
          <w:color w:val="000000"/>
          <w:szCs w:val="32"/>
        </w:rPr>
        <w:t>按时完成征地</w:t>
      </w:r>
      <w:r w:rsidR="00F44082">
        <w:rPr>
          <w:rFonts w:ascii="仿宋_GB2312" w:hAnsi="仿宋" w:cs="仿宋" w:hint="eastAsia"/>
          <w:color w:val="000000"/>
          <w:szCs w:val="32"/>
        </w:rPr>
        <w:t>租地</w:t>
      </w:r>
      <w:r w:rsidR="00F44082" w:rsidRPr="00231FD1">
        <w:rPr>
          <w:rFonts w:ascii="仿宋_GB2312" w:hAnsi="仿宋" w:cs="仿宋" w:hint="eastAsia"/>
          <w:color w:val="000000"/>
          <w:szCs w:val="32"/>
        </w:rPr>
        <w:t>工作，保障施工项目顺利进行</w:t>
      </w:r>
      <w:r w:rsidR="00F44082">
        <w:rPr>
          <w:rFonts w:ascii="仿宋_GB2312" w:hAnsi="仿宋" w:cs="仿宋" w:hint="eastAsia"/>
          <w:color w:val="000000"/>
          <w:szCs w:val="32"/>
        </w:rPr>
        <w:t>。</w:t>
      </w:r>
      <w:r w:rsidR="00F44082" w:rsidRPr="006E7AA2">
        <w:rPr>
          <w:rFonts w:ascii="仿宋_GB2312" w:hAnsi="仿宋" w:hint="eastAsia"/>
          <w:szCs w:val="32"/>
        </w:rPr>
        <w:t>并按照财务审批程序</w:t>
      </w:r>
      <w:r w:rsidR="00F44082">
        <w:rPr>
          <w:rFonts w:ascii="仿宋_GB2312" w:hAnsi="仿宋" w:hint="eastAsia"/>
          <w:szCs w:val="32"/>
        </w:rPr>
        <w:t>拨付</w:t>
      </w:r>
      <w:r w:rsidR="00F44082" w:rsidRPr="006E7AA2">
        <w:rPr>
          <w:rFonts w:ascii="仿宋_GB2312" w:hAnsi="仿宋" w:hint="eastAsia"/>
          <w:szCs w:val="32"/>
        </w:rPr>
        <w:t>资金，确保了各项经费、资金的合理使用，资金使用用途正确、支出合规合法，未发现资金挪用、截留、挤占现象。</w:t>
      </w:r>
    </w:p>
    <w:p w:rsidR="0008578A" w:rsidRPr="00B621D2" w:rsidRDefault="0008578A" w:rsidP="0008578A">
      <w:pPr>
        <w:ind w:firstLineChars="200" w:firstLine="599"/>
        <w:outlineLvl w:val="0"/>
        <w:rPr>
          <w:rFonts w:ascii="仿宋_GB2312"/>
          <w:szCs w:val="32"/>
        </w:rPr>
      </w:pPr>
      <w:r w:rsidRPr="00B621D2">
        <w:rPr>
          <w:rFonts w:ascii="仿宋_GB2312" w:hint="eastAsia"/>
          <w:szCs w:val="32"/>
        </w:rPr>
        <w:t>（一）项目资金情况分析。</w:t>
      </w:r>
    </w:p>
    <w:p w:rsidR="0008578A" w:rsidRPr="00B621D2" w:rsidRDefault="0008578A" w:rsidP="0008578A">
      <w:pPr>
        <w:ind w:firstLineChars="200" w:firstLine="599"/>
        <w:outlineLvl w:val="0"/>
        <w:rPr>
          <w:rFonts w:ascii="仿宋_GB2312"/>
          <w:szCs w:val="32"/>
        </w:rPr>
      </w:pPr>
      <w:r w:rsidRPr="00B621D2">
        <w:rPr>
          <w:rFonts w:ascii="仿宋_GB2312" w:hint="eastAsia"/>
          <w:szCs w:val="32"/>
        </w:rPr>
        <w:t>1.项目资金到位情况分析。</w:t>
      </w:r>
    </w:p>
    <w:p w:rsidR="0008578A" w:rsidRPr="00B621D2" w:rsidRDefault="0008578A" w:rsidP="0008578A">
      <w:pPr>
        <w:ind w:firstLineChars="200" w:firstLine="599"/>
        <w:rPr>
          <w:rFonts w:ascii="仿宋_GB2312" w:hAnsi="仿宋_GB2312" w:cs="仿宋_GB2312"/>
          <w:szCs w:val="32"/>
        </w:rPr>
      </w:pPr>
      <w:r w:rsidRPr="00B621D2">
        <w:rPr>
          <w:rFonts w:ascii="仿宋_GB2312" w:hint="eastAsia"/>
          <w:szCs w:val="32"/>
        </w:rPr>
        <w:t>小古城征地租地工作已到位资金168606397.74元，</w:t>
      </w:r>
      <w:r w:rsidRPr="00B621D2">
        <w:rPr>
          <w:rFonts w:ascii="仿宋_GB2312" w:hAnsi="仿宋" w:hint="eastAsia"/>
          <w:szCs w:val="32"/>
        </w:rPr>
        <w:t>用于小古城社区土地补偿费、租用土地租金、农业基础设施补偿费</w:t>
      </w:r>
      <w:r w:rsidR="00B621D2" w:rsidRPr="00B621D2">
        <w:rPr>
          <w:rFonts w:ascii="仿宋_GB2312" w:hAnsi="仿宋" w:hint="eastAsia"/>
          <w:szCs w:val="32"/>
        </w:rPr>
        <w:t>支出。</w:t>
      </w:r>
    </w:p>
    <w:p w:rsidR="0008578A" w:rsidRPr="00B621D2" w:rsidRDefault="0008578A" w:rsidP="0008578A">
      <w:pPr>
        <w:ind w:firstLineChars="200" w:firstLine="599"/>
        <w:outlineLvl w:val="0"/>
        <w:rPr>
          <w:rFonts w:ascii="仿宋_GB2312"/>
          <w:szCs w:val="32"/>
        </w:rPr>
      </w:pPr>
      <w:r w:rsidRPr="00B621D2">
        <w:rPr>
          <w:rFonts w:ascii="仿宋_GB2312" w:hint="eastAsia"/>
          <w:szCs w:val="32"/>
        </w:rPr>
        <w:t>2.项目资金使用情况分析。</w:t>
      </w:r>
    </w:p>
    <w:p w:rsidR="0008578A" w:rsidRPr="00B621D2" w:rsidRDefault="0008578A" w:rsidP="0008578A">
      <w:pPr>
        <w:ind w:firstLineChars="200" w:firstLine="599"/>
        <w:rPr>
          <w:rFonts w:ascii="仿宋_GB2312" w:hAnsi="仿宋"/>
          <w:szCs w:val="32"/>
        </w:rPr>
      </w:pPr>
      <w:r w:rsidRPr="00B621D2">
        <w:rPr>
          <w:rFonts w:ascii="仿宋_GB2312" w:hAnsi="仿宋_GB2312" w:cs="仿宋_GB2312" w:hint="eastAsia"/>
          <w:szCs w:val="32"/>
        </w:rPr>
        <w:t>2019年完成</w:t>
      </w:r>
      <w:r w:rsidR="00B621D2" w:rsidRPr="00B621D2">
        <w:rPr>
          <w:rFonts w:ascii="仿宋_GB2312" w:hAnsi="仿宋_GB2312" w:cs="仿宋_GB2312" w:hint="eastAsia"/>
          <w:szCs w:val="32"/>
        </w:rPr>
        <w:t>小古城社区土地补偿土地租金支出</w:t>
      </w:r>
      <w:r w:rsidR="00B621D2" w:rsidRPr="00B621D2">
        <w:rPr>
          <w:rFonts w:ascii="仿宋_GB2312" w:hint="eastAsia"/>
          <w:szCs w:val="32"/>
        </w:rPr>
        <w:t>168511660.21元</w:t>
      </w:r>
      <w:r w:rsidRPr="00B621D2">
        <w:rPr>
          <w:rFonts w:ascii="仿宋_GB2312" w:hAnsi="仿宋" w:cs="仿宋" w:hint="eastAsia"/>
          <w:color w:val="000000"/>
          <w:szCs w:val="32"/>
        </w:rPr>
        <w:t>，</w:t>
      </w:r>
      <w:r w:rsidRPr="00B621D2">
        <w:rPr>
          <w:rFonts w:ascii="仿宋_GB2312" w:hAnsi="仿宋" w:hint="eastAsia"/>
          <w:szCs w:val="32"/>
        </w:rPr>
        <w:t>其中：</w:t>
      </w:r>
    </w:p>
    <w:p w:rsidR="0008578A" w:rsidRPr="00FE06D7" w:rsidRDefault="0008578A" w:rsidP="0008578A">
      <w:pPr>
        <w:ind w:firstLineChars="200" w:firstLine="599"/>
        <w:outlineLvl w:val="0"/>
        <w:rPr>
          <w:rFonts w:ascii="仿宋_GB2312" w:hAnsi="仿宋"/>
          <w:szCs w:val="32"/>
        </w:rPr>
      </w:pPr>
      <w:r w:rsidRPr="00FE06D7">
        <w:rPr>
          <w:rFonts w:ascii="仿宋_GB2312" w:hAnsi="仿宋" w:hint="eastAsia"/>
          <w:szCs w:val="32"/>
        </w:rPr>
        <w:t>（1）</w:t>
      </w:r>
      <w:r w:rsidR="00B621D2" w:rsidRPr="00FE06D7">
        <w:rPr>
          <w:rFonts w:ascii="仿宋_GB2312" w:hint="eastAsia"/>
          <w:szCs w:val="32"/>
        </w:rPr>
        <w:t>拨付小古城社区土地补偿费</w:t>
      </w:r>
      <w:r w:rsidR="00B621D2" w:rsidRPr="00FE06D7">
        <w:rPr>
          <w:rFonts w:ascii="仿宋_GB2312" w:hAnsi="仿宋" w:hint="eastAsia"/>
          <w:szCs w:val="32"/>
        </w:rPr>
        <w:t>161532677.74</w:t>
      </w:r>
      <w:r w:rsidR="00B621D2" w:rsidRPr="00FE06D7">
        <w:rPr>
          <w:rFonts w:ascii="仿宋_GB2312" w:hAnsi="仿宋" w:hint="eastAsia"/>
          <w:color w:val="000000"/>
          <w:szCs w:val="32"/>
        </w:rPr>
        <w:t>元</w:t>
      </w:r>
      <w:r w:rsidRPr="00FE06D7">
        <w:rPr>
          <w:rFonts w:ascii="仿宋_GB2312" w:hAnsi="仿宋" w:hint="eastAsia"/>
          <w:szCs w:val="32"/>
        </w:rPr>
        <w:t>；</w:t>
      </w:r>
    </w:p>
    <w:p w:rsidR="0008578A" w:rsidRPr="00FE06D7" w:rsidRDefault="0008578A" w:rsidP="0008578A">
      <w:pPr>
        <w:ind w:firstLineChars="200" w:firstLine="599"/>
        <w:outlineLvl w:val="0"/>
        <w:rPr>
          <w:rFonts w:ascii="仿宋_GB2312" w:hAnsi="仿宋" w:hint="eastAsia"/>
          <w:szCs w:val="32"/>
        </w:rPr>
      </w:pPr>
      <w:r w:rsidRPr="00FE06D7">
        <w:rPr>
          <w:rFonts w:ascii="仿宋_GB2312" w:hAnsi="仿宋" w:hint="eastAsia"/>
          <w:szCs w:val="32"/>
        </w:rPr>
        <w:t>（2）</w:t>
      </w:r>
      <w:r w:rsidR="00B621D2" w:rsidRPr="00FE06D7">
        <w:rPr>
          <w:rFonts w:ascii="仿宋_GB2312" w:hint="eastAsia"/>
          <w:szCs w:val="32"/>
        </w:rPr>
        <w:t>拨付小古城社区</w:t>
      </w:r>
      <w:r w:rsidR="00B621D2" w:rsidRPr="00FE06D7">
        <w:rPr>
          <w:rFonts w:ascii="仿宋_GB2312" w:hAnsi="仿宋" w:hint="eastAsia"/>
          <w:color w:val="000000"/>
          <w:szCs w:val="32"/>
        </w:rPr>
        <w:t>土地租用费4553720元</w:t>
      </w:r>
      <w:r w:rsidRPr="00FE06D7">
        <w:rPr>
          <w:rFonts w:ascii="仿宋_GB2312" w:hAnsi="仿宋" w:hint="eastAsia"/>
          <w:szCs w:val="32"/>
        </w:rPr>
        <w:t>；</w:t>
      </w:r>
    </w:p>
    <w:p w:rsidR="00B621D2" w:rsidRPr="00FE06D7" w:rsidRDefault="00B621D2" w:rsidP="0008578A">
      <w:pPr>
        <w:ind w:firstLineChars="200" w:firstLine="599"/>
        <w:outlineLvl w:val="0"/>
        <w:rPr>
          <w:rFonts w:ascii="仿宋_GB2312" w:hAnsi="仿宋" w:hint="eastAsia"/>
          <w:szCs w:val="32"/>
        </w:rPr>
      </w:pPr>
      <w:r w:rsidRPr="00FE06D7">
        <w:rPr>
          <w:rFonts w:ascii="仿宋_GB2312" w:hAnsi="仿宋" w:hint="eastAsia"/>
          <w:szCs w:val="32"/>
        </w:rPr>
        <w:t>（3）</w:t>
      </w:r>
      <w:r w:rsidRPr="00FE06D7">
        <w:rPr>
          <w:rFonts w:ascii="仿宋_GB2312" w:hint="eastAsia"/>
          <w:szCs w:val="32"/>
        </w:rPr>
        <w:t>拨付小古城社区</w:t>
      </w:r>
      <w:r w:rsidRPr="00FE06D7">
        <w:rPr>
          <w:rFonts w:ascii="仿宋_GB2312" w:hAnsi="仿宋" w:hint="eastAsia"/>
          <w:color w:val="000000"/>
          <w:szCs w:val="32"/>
        </w:rPr>
        <w:t>农业基础设施补偿费2405346.9元；</w:t>
      </w:r>
    </w:p>
    <w:p w:rsidR="00B621D2" w:rsidRPr="00FE06D7" w:rsidRDefault="00B621D2" w:rsidP="0008578A">
      <w:pPr>
        <w:ind w:firstLineChars="200" w:firstLine="599"/>
        <w:outlineLvl w:val="0"/>
        <w:rPr>
          <w:rFonts w:ascii="仿宋_GB2312" w:hAnsi="仿宋" w:hint="eastAsia"/>
          <w:szCs w:val="32"/>
        </w:rPr>
      </w:pPr>
      <w:r w:rsidRPr="00FE06D7">
        <w:rPr>
          <w:rFonts w:ascii="仿宋_GB2312" w:hAnsi="仿宋" w:hint="eastAsia"/>
          <w:szCs w:val="32"/>
        </w:rPr>
        <w:t>（4）</w:t>
      </w:r>
      <w:r w:rsidRPr="00FE06D7">
        <w:rPr>
          <w:rFonts w:ascii="仿宋_GB2312" w:hAnsi="仿宋" w:hint="eastAsia"/>
          <w:color w:val="000000"/>
          <w:szCs w:val="32"/>
        </w:rPr>
        <w:t>拨付云南迅测科技有限公司农业基础拆迁测绘费11263.2元</w:t>
      </w:r>
    </w:p>
    <w:p w:rsidR="00B621D2" w:rsidRDefault="00B621D2" w:rsidP="0008578A">
      <w:pPr>
        <w:ind w:firstLineChars="200" w:firstLine="599"/>
        <w:outlineLvl w:val="0"/>
        <w:rPr>
          <w:rFonts w:ascii="仿宋_GB2312" w:hAnsi="仿宋" w:hint="eastAsia"/>
          <w:szCs w:val="32"/>
          <w:highlight w:val="yellow"/>
        </w:rPr>
      </w:pPr>
      <w:r w:rsidRPr="00FE06D7">
        <w:rPr>
          <w:rFonts w:ascii="仿宋_GB2312" w:hAnsi="仿宋" w:hint="eastAsia"/>
          <w:szCs w:val="32"/>
        </w:rPr>
        <w:t>（5）</w:t>
      </w:r>
      <w:r w:rsidRPr="00FE06D7">
        <w:rPr>
          <w:rFonts w:ascii="仿宋_GB2312" w:hAnsi="仿宋" w:hint="eastAsia"/>
          <w:color w:val="000000"/>
          <w:szCs w:val="32"/>
        </w:rPr>
        <w:t>拨付昆明富乙房地产土地评估有限责任公司农业基础</w:t>
      </w:r>
      <w:r w:rsidR="00EB5DC2">
        <w:rPr>
          <w:rFonts w:ascii="仿宋_GB2312" w:hAnsi="仿宋" w:hint="eastAsia"/>
          <w:color w:val="000000"/>
          <w:szCs w:val="32"/>
        </w:rPr>
        <w:t>设施</w:t>
      </w:r>
      <w:r w:rsidRPr="00FE06D7">
        <w:rPr>
          <w:rFonts w:ascii="仿宋_GB2312" w:hAnsi="仿宋" w:hint="eastAsia"/>
          <w:color w:val="000000"/>
          <w:szCs w:val="32"/>
        </w:rPr>
        <w:t>拆迁</w:t>
      </w:r>
      <w:r>
        <w:rPr>
          <w:rFonts w:ascii="仿宋_GB2312" w:hAnsi="仿宋" w:hint="eastAsia"/>
          <w:color w:val="000000"/>
          <w:szCs w:val="32"/>
        </w:rPr>
        <w:t>评估费8652.37元</w:t>
      </w:r>
    </w:p>
    <w:p w:rsidR="0008578A" w:rsidRPr="00D76A5B" w:rsidRDefault="0008578A" w:rsidP="0008578A">
      <w:pPr>
        <w:ind w:firstLineChars="200" w:firstLine="599"/>
        <w:outlineLvl w:val="0"/>
        <w:rPr>
          <w:rFonts w:ascii="仿宋_GB2312"/>
          <w:szCs w:val="32"/>
        </w:rPr>
      </w:pPr>
      <w:r w:rsidRPr="00D76A5B">
        <w:rPr>
          <w:rFonts w:ascii="仿宋_GB2312" w:hint="eastAsia"/>
          <w:szCs w:val="32"/>
        </w:rPr>
        <w:t>3.项目资金管理情况分析。</w:t>
      </w:r>
    </w:p>
    <w:p w:rsidR="0008578A" w:rsidRPr="00D76A5B" w:rsidRDefault="0008578A" w:rsidP="0008578A">
      <w:pPr>
        <w:ind w:firstLineChars="200" w:firstLine="599"/>
        <w:outlineLvl w:val="0"/>
        <w:rPr>
          <w:rFonts w:ascii="仿宋_GB2312"/>
          <w:szCs w:val="32"/>
        </w:rPr>
      </w:pPr>
      <w:r w:rsidRPr="00D76A5B">
        <w:rPr>
          <w:rFonts w:ascii="仿宋_GB2312" w:hint="eastAsia"/>
          <w:szCs w:val="32"/>
        </w:rPr>
        <w:t>严格账务处理和核算，强化内部监督，规范机关财务行为，做到了资金拨付有完整的审批程序和专款专用。</w:t>
      </w:r>
    </w:p>
    <w:p w:rsidR="0008578A" w:rsidRPr="00D76A5B" w:rsidRDefault="0008578A" w:rsidP="0008578A">
      <w:pPr>
        <w:ind w:firstLineChars="200" w:firstLine="599"/>
        <w:outlineLvl w:val="0"/>
        <w:rPr>
          <w:rFonts w:ascii="仿宋_GB2312"/>
          <w:szCs w:val="32"/>
        </w:rPr>
      </w:pPr>
      <w:r w:rsidRPr="00D76A5B">
        <w:rPr>
          <w:rFonts w:ascii="仿宋_GB2312" w:hint="eastAsia"/>
          <w:szCs w:val="32"/>
        </w:rPr>
        <w:t>（二）项目实施情况分析。</w:t>
      </w:r>
    </w:p>
    <w:p w:rsidR="0008578A" w:rsidRPr="00D76A5B" w:rsidRDefault="0008578A" w:rsidP="0008578A">
      <w:pPr>
        <w:ind w:firstLineChars="200" w:firstLine="599"/>
        <w:outlineLvl w:val="0"/>
        <w:rPr>
          <w:rFonts w:ascii="仿宋_GB2312"/>
          <w:szCs w:val="32"/>
        </w:rPr>
      </w:pPr>
      <w:r w:rsidRPr="00D76A5B">
        <w:rPr>
          <w:rFonts w:ascii="仿宋_GB2312" w:hint="eastAsia"/>
          <w:szCs w:val="32"/>
        </w:rPr>
        <w:lastRenderedPageBreak/>
        <w:t>1.项目组织情况分析。</w:t>
      </w:r>
    </w:p>
    <w:p w:rsidR="0008578A" w:rsidRPr="0008578A" w:rsidRDefault="0008578A" w:rsidP="0008578A">
      <w:pPr>
        <w:topLinePunct/>
        <w:ind w:firstLineChars="200" w:firstLine="599"/>
        <w:rPr>
          <w:rFonts w:ascii="仿宋_GB2312" w:hAnsi="仿宋_GB2312" w:cs="仿宋_GB2312"/>
          <w:szCs w:val="32"/>
          <w:highlight w:val="yellow"/>
        </w:rPr>
      </w:pPr>
      <w:r w:rsidRPr="00D76A5B">
        <w:rPr>
          <w:rFonts w:ascii="仿宋_GB2312" w:hAnsi="仿宋" w:cs="仿宋" w:hint="eastAsia"/>
          <w:color w:val="000000"/>
          <w:szCs w:val="32"/>
        </w:rPr>
        <w:t>按照征地拆迁补偿标准进行补偿，完成全部财政预算安排资金，不超范围、超预算支出。按时完成征地拆迁工作，保障项目顺利进行。</w:t>
      </w:r>
      <w:r w:rsidR="00D76A5B" w:rsidRPr="0014186F">
        <w:rPr>
          <w:rFonts w:ascii="仿宋_GB2312" w:hint="eastAsia"/>
          <w:color w:val="000000" w:themeColor="text1"/>
          <w:szCs w:val="32"/>
        </w:rPr>
        <w:t>项目完成后对项目完成情况进行绩效考评，考核绩效指标完成情况，针对绩效评价过程中存在的问题及原因分析后提出意见并落实。</w:t>
      </w:r>
    </w:p>
    <w:p w:rsidR="0008578A" w:rsidRPr="008D57BE" w:rsidRDefault="0008578A" w:rsidP="0008578A">
      <w:pPr>
        <w:ind w:firstLineChars="200" w:firstLine="599"/>
        <w:outlineLvl w:val="0"/>
        <w:rPr>
          <w:rFonts w:ascii="仿宋_GB2312"/>
          <w:szCs w:val="32"/>
        </w:rPr>
      </w:pPr>
      <w:r w:rsidRPr="008D57BE">
        <w:rPr>
          <w:rFonts w:ascii="仿宋_GB2312" w:hint="eastAsia"/>
          <w:szCs w:val="32"/>
        </w:rPr>
        <w:t>2.项目管理情况分析。</w:t>
      </w:r>
    </w:p>
    <w:p w:rsidR="00EB5DC2" w:rsidRDefault="008D57BE" w:rsidP="0008578A">
      <w:pPr>
        <w:ind w:firstLineChars="200" w:firstLine="599"/>
        <w:outlineLvl w:val="0"/>
        <w:rPr>
          <w:rFonts w:ascii="仿宋_GB2312" w:hAnsi="仿宋" w:hint="eastAsia"/>
          <w:szCs w:val="32"/>
        </w:rPr>
      </w:pPr>
      <w:r w:rsidRPr="0014186F">
        <w:rPr>
          <w:rFonts w:ascii="仿宋_GB2312" w:hint="eastAsia"/>
          <w:color w:val="000000" w:themeColor="text1"/>
          <w:szCs w:val="32"/>
        </w:rPr>
        <w:t>该项工作由街道党工委副书记分管，</w:t>
      </w:r>
      <w:r>
        <w:rPr>
          <w:rFonts w:ascii="仿宋_GB2312" w:hint="eastAsia"/>
          <w:color w:val="000000" w:themeColor="text1"/>
          <w:szCs w:val="32"/>
        </w:rPr>
        <w:t>项目建设综合服务中心主任</w:t>
      </w:r>
      <w:r w:rsidRPr="0014186F">
        <w:rPr>
          <w:rFonts w:ascii="仿宋_GB2312" w:hint="eastAsia"/>
          <w:color w:val="000000" w:themeColor="text1"/>
          <w:szCs w:val="32"/>
        </w:rPr>
        <w:t>具体负责。</w:t>
      </w:r>
      <w:r w:rsidR="00EB5DC2">
        <w:rPr>
          <w:rFonts w:ascii="仿宋_GB2312" w:hint="eastAsia"/>
          <w:color w:val="000000" w:themeColor="text1"/>
          <w:szCs w:val="32"/>
        </w:rPr>
        <w:t>主要用于以下几个方面：1.</w:t>
      </w:r>
      <w:r w:rsidR="00EB5DC2" w:rsidRPr="00EB5DC2">
        <w:rPr>
          <w:rFonts w:ascii="仿宋_GB2312" w:hint="eastAsia"/>
          <w:szCs w:val="32"/>
        </w:rPr>
        <w:t xml:space="preserve"> </w:t>
      </w:r>
      <w:r w:rsidR="00EB5DC2">
        <w:rPr>
          <w:rFonts w:ascii="仿宋_GB2312" w:hint="eastAsia"/>
          <w:szCs w:val="32"/>
        </w:rPr>
        <w:t>小古城社区土地补偿费支出；2.</w:t>
      </w:r>
      <w:r w:rsidR="00EB5DC2" w:rsidRPr="00EB5DC2">
        <w:rPr>
          <w:rFonts w:ascii="仿宋_GB2312" w:hint="eastAsia"/>
          <w:szCs w:val="32"/>
        </w:rPr>
        <w:t xml:space="preserve"> </w:t>
      </w:r>
      <w:r w:rsidR="00EB5DC2">
        <w:rPr>
          <w:rFonts w:ascii="仿宋_GB2312" w:hint="eastAsia"/>
          <w:szCs w:val="32"/>
        </w:rPr>
        <w:t>小古城社区</w:t>
      </w:r>
      <w:r w:rsidR="00EB5DC2">
        <w:rPr>
          <w:rFonts w:ascii="仿宋_GB2312" w:hAnsi="仿宋" w:hint="eastAsia"/>
          <w:color w:val="000000"/>
          <w:szCs w:val="32"/>
        </w:rPr>
        <w:t>土地租用费支出；3.</w:t>
      </w:r>
      <w:r w:rsidR="00EB5DC2" w:rsidRPr="00EB5DC2">
        <w:rPr>
          <w:rFonts w:ascii="仿宋_GB2312" w:hint="eastAsia"/>
          <w:szCs w:val="32"/>
        </w:rPr>
        <w:t xml:space="preserve"> </w:t>
      </w:r>
      <w:r w:rsidR="00EB5DC2" w:rsidRPr="00FE06D7">
        <w:rPr>
          <w:rFonts w:ascii="仿宋_GB2312" w:hint="eastAsia"/>
          <w:szCs w:val="32"/>
        </w:rPr>
        <w:t>小古城社区</w:t>
      </w:r>
      <w:r w:rsidR="00EB5DC2" w:rsidRPr="00FE06D7">
        <w:rPr>
          <w:rFonts w:ascii="仿宋_GB2312" w:hAnsi="仿宋" w:hint="eastAsia"/>
          <w:color w:val="000000"/>
          <w:szCs w:val="32"/>
        </w:rPr>
        <w:t>农业基础设施补偿费</w:t>
      </w:r>
      <w:r w:rsidR="00EB5DC2">
        <w:rPr>
          <w:rFonts w:ascii="仿宋_GB2312" w:hAnsi="仿宋" w:hint="eastAsia"/>
          <w:color w:val="000000"/>
          <w:szCs w:val="32"/>
        </w:rPr>
        <w:t>；4.</w:t>
      </w:r>
      <w:r w:rsidR="00EB5DC2" w:rsidRPr="00EB5DC2">
        <w:rPr>
          <w:rFonts w:ascii="仿宋_GB2312" w:hAnsi="仿宋" w:hint="eastAsia"/>
          <w:color w:val="000000"/>
          <w:szCs w:val="32"/>
        </w:rPr>
        <w:t xml:space="preserve"> </w:t>
      </w:r>
      <w:r w:rsidR="00EB5DC2" w:rsidRPr="00FE06D7">
        <w:rPr>
          <w:rFonts w:ascii="仿宋_GB2312" w:hAnsi="仿宋" w:hint="eastAsia"/>
          <w:color w:val="000000"/>
          <w:szCs w:val="32"/>
        </w:rPr>
        <w:t>农业基础拆迁测绘费</w:t>
      </w:r>
      <w:r w:rsidR="00EB5DC2">
        <w:rPr>
          <w:rFonts w:ascii="仿宋_GB2312" w:hAnsi="仿宋" w:hint="eastAsia"/>
          <w:color w:val="000000"/>
          <w:szCs w:val="32"/>
        </w:rPr>
        <w:t>支出；5.</w:t>
      </w:r>
      <w:r w:rsidR="00EB5DC2" w:rsidRPr="00EB5DC2">
        <w:rPr>
          <w:rFonts w:ascii="仿宋_GB2312" w:hAnsi="仿宋" w:hint="eastAsia"/>
          <w:color w:val="000000"/>
          <w:szCs w:val="32"/>
        </w:rPr>
        <w:t xml:space="preserve"> </w:t>
      </w:r>
      <w:r w:rsidR="00EB5DC2" w:rsidRPr="00FE06D7">
        <w:rPr>
          <w:rFonts w:ascii="仿宋_GB2312" w:hAnsi="仿宋" w:hint="eastAsia"/>
          <w:color w:val="000000"/>
          <w:szCs w:val="32"/>
        </w:rPr>
        <w:t>农业基础</w:t>
      </w:r>
      <w:r w:rsidR="00EB5DC2">
        <w:rPr>
          <w:rFonts w:ascii="仿宋_GB2312" w:hAnsi="仿宋" w:hint="eastAsia"/>
          <w:color w:val="000000"/>
          <w:szCs w:val="32"/>
        </w:rPr>
        <w:t>设施</w:t>
      </w:r>
      <w:r w:rsidR="00EB5DC2" w:rsidRPr="00FE06D7">
        <w:rPr>
          <w:rFonts w:ascii="仿宋_GB2312" w:hAnsi="仿宋" w:hint="eastAsia"/>
          <w:color w:val="000000"/>
          <w:szCs w:val="32"/>
        </w:rPr>
        <w:t>拆迁</w:t>
      </w:r>
      <w:r w:rsidR="00EB5DC2">
        <w:rPr>
          <w:rFonts w:ascii="仿宋_GB2312" w:hAnsi="仿宋" w:hint="eastAsia"/>
          <w:color w:val="000000"/>
          <w:szCs w:val="32"/>
        </w:rPr>
        <w:t>评估费。</w:t>
      </w:r>
      <w:r w:rsidR="00EB5DC2" w:rsidRPr="006E7AA2">
        <w:rPr>
          <w:rFonts w:ascii="仿宋_GB2312" w:hAnsi="仿宋" w:hint="eastAsia"/>
          <w:szCs w:val="32"/>
        </w:rPr>
        <w:t>按照财务审批程序</w:t>
      </w:r>
      <w:r w:rsidR="00EB5DC2">
        <w:rPr>
          <w:rFonts w:ascii="仿宋_GB2312" w:hAnsi="仿宋" w:hint="eastAsia"/>
          <w:szCs w:val="32"/>
        </w:rPr>
        <w:t>拨付</w:t>
      </w:r>
      <w:r w:rsidR="00EB5DC2" w:rsidRPr="006E7AA2">
        <w:rPr>
          <w:rFonts w:ascii="仿宋_GB2312" w:hAnsi="仿宋" w:hint="eastAsia"/>
          <w:szCs w:val="32"/>
        </w:rPr>
        <w:t>资金，确保了各项经费、资金的合理使用，资金使用用途正确、支出合规合法，未发现资金挪用、截留、挤占现象。</w:t>
      </w:r>
    </w:p>
    <w:p w:rsidR="0008578A" w:rsidRPr="002E03E1" w:rsidRDefault="0008578A" w:rsidP="0008578A">
      <w:pPr>
        <w:ind w:firstLineChars="200" w:firstLine="599"/>
        <w:outlineLvl w:val="0"/>
        <w:rPr>
          <w:rFonts w:ascii="仿宋_GB2312"/>
          <w:szCs w:val="32"/>
        </w:rPr>
      </w:pPr>
      <w:r w:rsidRPr="002E03E1">
        <w:rPr>
          <w:rFonts w:ascii="仿宋_GB2312" w:hint="eastAsia"/>
          <w:szCs w:val="32"/>
        </w:rPr>
        <w:t>（三）项目绩效情况分析。</w:t>
      </w:r>
    </w:p>
    <w:p w:rsidR="0008578A" w:rsidRPr="002E03E1" w:rsidRDefault="0008578A" w:rsidP="0008578A">
      <w:pPr>
        <w:topLinePunct/>
        <w:ind w:firstLineChars="200" w:firstLine="599"/>
        <w:rPr>
          <w:rFonts w:ascii="仿宋_GB2312"/>
          <w:szCs w:val="32"/>
        </w:rPr>
      </w:pPr>
      <w:r w:rsidRPr="002E03E1">
        <w:rPr>
          <w:rFonts w:ascii="仿宋_GB2312" w:hint="eastAsia"/>
          <w:szCs w:val="32"/>
        </w:rPr>
        <w:t>1、</w:t>
      </w:r>
      <w:r w:rsidRPr="002E03E1">
        <w:rPr>
          <w:rFonts w:ascii="仿宋_GB2312" w:hint="eastAsia"/>
          <w:szCs w:val="32"/>
        </w:rPr>
        <w:tab/>
        <w:t>项目经济性分析</w:t>
      </w:r>
    </w:p>
    <w:p w:rsidR="0008578A" w:rsidRPr="002E03E1" w:rsidRDefault="0008578A" w:rsidP="0008578A">
      <w:pPr>
        <w:shd w:val="clear" w:color="auto" w:fill="FFFFFF"/>
        <w:ind w:firstLine="641"/>
        <w:rPr>
          <w:rFonts w:ascii="仿宋_GB2312" w:hAnsi="仿宋" w:cs="宋体"/>
          <w:color w:val="333333"/>
          <w:szCs w:val="32"/>
        </w:rPr>
      </w:pPr>
      <w:r w:rsidRPr="002E03E1">
        <w:rPr>
          <w:rFonts w:ascii="仿宋_GB2312" w:hAnsi="仿宋" w:cs="宋体" w:hint="eastAsia"/>
          <w:color w:val="333333"/>
          <w:szCs w:val="32"/>
        </w:rPr>
        <w:t>在项目实施过程中，加强成本控制，本着厉行节约的原则，严格规范各项开支</w:t>
      </w:r>
      <w:r w:rsidR="002E03E1" w:rsidRPr="002E03E1">
        <w:rPr>
          <w:rFonts w:ascii="仿宋_GB2312" w:hAnsi="仿宋" w:cs="仿宋" w:hint="eastAsia"/>
          <w:color w:val="000000"/>
          <w:szCs w:val="32"/>
        </w:rPr>
        <w:t>。</w:t>
      </w:r>
      <w:r w:rsidRPr="002E03E1">
        <w:rPr>
          <w:rFonts w:ascii="仿宋_GB2312" w:hAnsi="仿宋" w:cs="宋体" w:hint="eastAsia"/>
          <w:color w:val="333333"/>
          <w:szCs w:val="32"/>
        </w:rPr>
        <w:t>项目资金使用符合预算要求。</w:t>
      </w:r>
    </w:p>
    <w:p w:rsidR="0008578A" w:rsidRPr="001269E4" w:rsidRDefault="0008578A" w:rsidP="0008578A">
      <w:pPr>
        <w:ind w:firstLineChars="200" w:firstLine="599"/>
        <w:outlineLvl w:val="0"/>
        <w:rPr>
          <w:rFonts w:ascii="仿宋_GB2312"/>
          <w:szCs w:val="32"/>
        </w:rPr>
      </w:pPr>
      <w:r w:rsidRPr="001269E4">
        <w:rPr>
          <w:rFonts w:ascii="仿宋_GB2312"/>
          <w:szCs w:val="32"/>
        </w:rPr>
        <w:t>2.</w:t>
      </w:r>
      <w:r w:rsidRPr="001269E4">
        <w:rPr>
          <w:rFonts w:ascii="仿宋_GB2312" w:hint="eastAsia"/>
          <w:szCs w:val="32"/>
        </w:rPr>
        <w:t>项目的效率性分析</w:t>
      </w:r>
    </w:p>
    <w:p w:rsidR="0008578A" w:rsidRPr="001269E4" w:rsidRDefault="002E03E1" w:rsidP="0008578A">
      <w:pPr>
        <w:ind w:firstLineChars="200" w:firstLine="599"/>
        <w:rPr>
          <w:rFonts w:ascii="仿宋_GB2312" w:hAnsi="仿宋_GB2312" w:cs="仿宋_GB2312"/>
          <w:szCs w:val="32"/>
        </w:rPr>
      </w:pPr>
      <w:r w:rsidRPr="001269E4">
        <w:rPr>
          <w:rFonts w:ascii="仿宋_GB2312" w:hAnsi="仿宋" w:cs="仿宋" w:hint="eastAsia"/>
          <w:color w:val="000000"/>
          <w:szCs w:val="32"/>
        </w:rPr>
        <w:t>小古城社区征收租用土地工作支出</w:t>
      </w:r>
      <w:r w:rsidRPr="001269E4">
        <w:rPr>
          <w:rFonts w:ascii="仿宋_GB2312" w:hint="eastAsia"/>
          <w:szCs w:val="32"/>
        </w:rPr>
        <w:t>168511660.21元，</w:t>
      </w:r>
      <w:r w:rsidR="0008578A" w:rsidRPr="001269E4">
        <w:rPr>
          <w:rFonts w:ascii="仿宋_GB2312" w:hAnsi="仿宋" w:hint="eastAsia"/>
          <w:szCs w:val="32"/>
        </w:rPr>
        <w:t>按照征地拆迁补偿标准进行补偿，依法依规完成征地拆迁工作，完成全部财政预算安排资金，不超范围、超预算支出。</w:t>
      </w:r>
    </w:p>
    <w:p w:rsidR="0008578A" w:rsidRPr="001269E4" w:rsidRDefault="0008578A" w:rsidP="0008578A">
      <w:pPr>
        <w:ind w:firstLineChars="200" w:firstLine="599"/>
        <w:outlineLvl w:val="0"/>
        <w:rPr>
          <w:rFonts w:ascii="仿宋_GB2312"/>
          <w:szCs w:val="32"/>
        </w:rPr>
      </w:pPr>
      <w:r w:rsidRPr="001269E4">
        <w:rPr>
          <w:rFonts w:ascii="仿宋_GB2312"/>
          <w:szCs w:val="32"/>
        </w:rPr>
        <w:t>3.</w:t>
      </w:r>
      <w:r w:rsidRPr="001269E4">
        <w:rPr>
          <w:rFonts w:ascii="仿宋_GB2312" w:hint="eastAsia"/>
          <w:szCs w:val="32"/>
        </w:rPr>
        <w:t>项目的效益性分析</w:t>
      </w:r>
    </w:p>
    <w:p w:rsidR="0008578A" w:rsidRDefault="0008578A" w:rsidP="0008578A">
      <w:pPr>
        <w:topLinePunct/>
        <w:ind w:firstLineChars="199" w:firstLine="596"/>
        <w:rPr>
          <w:rFonts w:ascii="仿宋_GB2312"/>
          <w:szCs w:val="32"/>
        </w:rPr>
      </w:pPr>
      <w:r w:rsidRPr="001269E4">
        <w:rPr>
          <w:rFonts w:ascii="仿宋_GB2312" w:hAnsi="仿宋" w:hint="eastAsia"/>
          <w:szCs w:val="32"/>
        </w:rPr>
        <w:t>通过</w:t>
      </w:r>
      <w:r w:rsidR="001269E4" w:rsidRPr="001269E4">
        <w:rPr>
          <w:rFonts w:ascii="仿宋_GB2312" w:hAnsi="仿宋" w:hint="eastAsia"/>
          <w:szCs w:val="32"/>
        </w:rPr>
        <w:t>小古城社区</w:t>
      </w:r>
      <w:r w:rsidRPr="001269E4">
        <w:rPr>
          <w:rFonts w:ascii="仿宋_GB2312" w:hAnsi="仿宋" w:hint="eastAsia"/>
          <w:szCs w:val="32"/>
        </w:rPr>
        <w:t>征地</w:t>
      </w:r>
      <w:r w:rsidR="001269E4" w:rsidRPr="001269E4">
        <w:rPr>
          <w:rFonts w:ascii="仿宋_GB2312" w:hAnsi="仿宋" w:hint="eastAsia"/>
          <w:szCs w:val="32"/>
        </w:rPr>
        <w:t>租地工作</w:t>
      </w:r>
      <w:r w:rsidRPr="001269E4">
        <w:rPr>
          <w:rFonts w:ascii="仿宋_GB2312" w:hAnsi="仿宋" w:hint="eastAsia"/>
          <w:szCs w:val="32"/>
        </w:rPr>
        <w:t>，</w:t>
      </w:r>
      <w:r w:rsidR="001269E4" w:rsidRPr="001269E4">
        <w:rPr>
          <w:rFonts w:ascii="仿宋_GB2312" w:hint="eastAsia"/>
          <w:szCs w:val="32"/>
        </w:rPr>
        <w:t>保障了社区居民切身利益，维护社区社会和谐稳定，确保生态隔离带充分发挥生态绿色涵养功能，</w:t>
      </w:r>
      <w:r w:rsidRPr="001269E4">
        <w:rPr>
          <w:rFonts w:ascii="仿宋_GB2312" w:hAnsi="仿宋" w:hint="eastAsia"/>
          <w:szCs w:val="32"/>
        </w:rPr>
        <w:t>改善群众的居住环境，提高居住的生活水平。</w:t>
      </w:r>
    </w:p>
    <w:p w:rsidR="003B05DF" w:rsidRDefault="003B05DF" w:rsidP="003B05DF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lastRenderedPageBreak/>
        <w:t>五、综合评价情况及评价结论</w:t>
      </w:r>
      <w:r>
        <w:rPr>
          <w:rFonts w:ascii="仿宋_GB2312" w:hint="eastAsia"/>
          <w:bCs/>
          <w:szCs w:val="32"/>
        </w:rPr>
        <w:t>（附相关评分表）</w:t>
      </w:r>
      <w:r>
        <w:rPr>
          <w:rFonts w:ascii="仿宋_GB2312" w:hint="eastAsia"/>
          <w:b/>
          <w:szCs w:val="32"/>
        </w:rPr>
        <w:t>。</w:t>
      </w:r>
    </w:p>
    <w:p w:rsidR="003B05DF" w:rsidRPr="003608FE" w:rsidRDefault="003B05DF" w:rsidP="003B05DF">
      <w:pPr>
        <w:spacing w:line="560" w:lineRule="exact"/>
        <w:ind w:firstLineChars="200" w:firstLine="599"/>
        <w:rPr>
          <w:rFonts w:ascii="仿宋_GB2312"/>
          <w:color w:val="000000" w:themeColor="text1"/>
          <w:szCs w:val="32"/>
        </w:rPr>
      </w:pPr>
      <w:r w:rsidRPr="003608FE">
        <w:rPr>
          <w:rFonts w:ascii="仿宋_GB2312" w:hint="eastAsia"/>
          <w:color w:val="000000" w:themeColor="text1"/>
          <w:szCs w:val="32"/>
        </w:rPr>
        <w:t>经过评价小组对该项目绩效情况进行综合打分，评价总分为100分，评价得分为</w:t>
      </w:r>
      <w:r>
        <w:rPr>
          <w:rFonts w:ascii="仿宋_GB2312" w:hint="eastAsia"/>
          <w:color w:val="000000" w:themeColor="text1"/>
          <w:szCs w:val="32"/>
        </w:rPr>
        <w:t>9</w:t>
      </w:r>
      <w:r w:rsidR="00BD52E9">
        <w:rPr>
          <w:rFonts w:ascii="仿宋_GB2312" w:hint="eastAsia"/>
          <w:color w:val="000000" w:themeColor="text1"/>
          <w:szCs w:val="32"/>
        </w:rPr>
        <w:t>7</w:t>
      </w:r>
      <w:r w:rsidRPr="003608FE">
        <w:rPr>
          <w:rFonts w:ascii="仿宋_GB2312" w:hint="eastAsia"/>
          <w:color w:val="000000" w:themeColor="text1"/>
          <w:szCs w:val="32"/>
        </w:rPr>
        <w:t>分，评价等级为优，其中：项目决策总分20分，评价得</w:t>
      </w:r>
      <w:r>
        <w:rPr>
          <w:rFonts w:ascii="仿宋_GB2312" w:hint="eastAsia"/>
          <w:color w:val="000000" w:themeColor="text1"/>
          <w:szCs w:val="32"/>
        </w:rPr>
        <w:t>1</w:t>
      </w:r>
      <w:r w:rsidR="00BD52E9">
        <w:rPr>
          <w:rFonts w:ascii="仿宋_GB2312" w:hint="eastAsia"/>
          <w:color w:val="000000" w:themeColor="text1"/>
          <w:szCs w:val="32"/>
        </w:rPr>
        <w:t>9</w:t>
      </w:r>
      <w:r w:rsidRPr="003608FE">
        <w:rPr>
          <w:rFonts w:ascii="仿宋_GB2312" w:hint="eastAsia"/>
          <w:color w:val="000000" w:themeColor="text1"/>
          <w:szCs w:val="32"/>
        </w:rPr>
        <w:t>分,项目管理总分25分，评价得2</w:t>
      </w:r>
      <w:r>
        <w:rPr>
          <w:rFonts w:ascii="仿宋_GB2312" w:hint="eastAsia"/>
          <w:color w:val="000000" w:themeColor="text1"/>
          <w:szCs w:val="32"/>
        </w:rPr>
        <w:t>4</w:t>
      </w:r>
      <w:r w:rsidRPr="003608FE">
        <w:rPr>
          <w:rFonts w:ascii="仿宋_GB2312" w:hint="eastAsia"/>
          <w:color w:val="000000" w:themeColor="text1"/>
          <w:szCs w:val="32"/>
        </w:rPr>
        <w:t>分,项目绩效总分55分，评价得</w:t>
      </w:r>
      <w:r>
        <w:rPr>
          <w:rFonts w:ascii="仿宋_GB2312" w:hint="eastAsia"/>
          <w:color w:val="000000" w:themeColor="text1"/>
          <w:szCs w:val="32"/>
        </w:rPr>
        <w:t>54</w:t>
      </w:r>
      <w:r w:rsidRPr="003608FE">
        <w:rPr>
          <w:rFonts w:ascii="仿宋_GB2312" w:hint="eastAsia"/>
          <w:color w:val="000000" w:themeColor="text1"/>
          <w:szCs w:val="32"/>
        </w:rPr>
        <w:t>分。</w:t>
      </w:r>
    </w:p>
    <w:p w:rsidR="003B05DF" w:rsidRDefault="003B05DF" w:rsidP="003B05DF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六、绩效评价结果应用建议</w:t>
      </w:r>
      <w:r>
        <w:rPr>
          <w:rFonts w:ascii="仿宋_GB2312" w:hint="eastAsia"/>
          <w:bCs/>
          <w:szCs w:val="32"/>
        </w:rPr>
        <w:t>（以后年度预算安排、评价结果公开等）</w:t>
      </w:r>
      <w:r>
        <w:rPr>
          <w:rFonts w:ascii="仿宋_GB2312" w:hint="eastAsia"/>
          <w:b/>
          <w:szCs w:val="32"/>
        </w:rPr>
        <w:t>。</w:t>
      </w:r>
    </w:p>
    <w:p w:rsidR="003B05DF" w:rsidRDefault="003B05DF" w:rsidP="003B05DF">
      <w:pPr>
        <w:ind w:firstLineChars="200" w:firstLine="599"/>
        <w:rPr>
          <w:rFonts w:ascii="仿宋_GB2312"/>
          <w:b/>
          <w:szCs w:val="32"/>
        </w:rPr>
      </w:pPr>
      <w:r>
        <w:rPr>
          <w:rFonts w:ascii="仿宋_GB2312" w:hint="eastAsia"/>
          <w:szCs w:val="32"/>
        </w:rPr>
        <w:t>做好</w:t>
      </w:r>
      <w:r w:rsidR="006B091E">
        <w:rPr>
          <w:rFonts w:ascii="仿宋_GB2312" w:hint="eastAsia"/>
          <w:szCs w:val="32"/>
        </w:rPr>
        <w:t>租用土地租金预算</w:t>
      </w:r>
      <w:r>
        <w:rPr>
          <w:rFonts w:ascii="仿宋_GB2312" w:hint="eastAsia"/>
          <w:szCs w:val="32"/>
        </w:rPr>
        <w:t>。</w:t>
      </w:r>
    </w:p>
    <w:p w:rsidR="003B05DF" w:rsidRDefault="003B05DF" w:rsidP="003B05DF">
      <w:pPr>
        <w:ind w:firstLineChars="200" w:firstLine="602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七、主要经验及做法、存在的问题和建议。</w:t>
      </w:r>
    </w:p>
    <w:p w:rsidR="003B05DF" w:rsidRDefault="00623EA3" w:rsidP="00B13AB6">
      <w:pPr>
        <w:topLinePunct/>
        <w:ind w:firstLineChars="200" w:firstLine="599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开展</w:t>
      </w:r>
      <w:r w:rsidR="007B6457">
        <w:rPr>
          <w:rFonts w:ascii="仿宋_GB2312" w:hint="eastAsia"/>
          <w:szCs w:val="32"/>
        </w:rPr>
        <w:t>征地租地用于</w:t>
      </w:r>
      <w:r>
        <w:rPr>
          <w:rFonts w:ascii="仿宋_GB2312" w:hint="eastAsia"/>
          <w:szCs w:val="32"/>
        </w:rPr>
        <w:t>生态隔离带建设</w:t>
      </w:r>
      <w:r w:rsidR="003B05DF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可美化</w:t>
      </w:r>
      <w:r w:rsidR="007B6457">
        <w:rPr>
          <w:rFonts w:ascii="仿宋_GB2312" w:hint="eastAsia"/>
          <w:szCs w:val="32"/>
        </w:rPr>
        <w:t>及提升</w:t>
      </w:r>
      <w:r>
        <w:rPr>
          <w:rFonts w:ascii="仿宋_GB2312" w:hint="eastAsia"/>
          <w:szCs w:val="32"/>
        </w:rPr>
        <w:t>社区周边环境，</w:t>
      </w:r>
      <w:r w:rsidR="003B05DF">
        <w:rPr>
          <w:rFonts w:ascii="仿宋_GB2312" w:hint="eastAsia"/>
          <w:szCs w:val="32"/>
        </w:rPr>
        <w:t>确保社会稳定。</w:t>
      </w:r>
    </w:p>
    <w:p w:rsidR="0008578A" w:rsidRPr="0014186F" w:rsidRDefault="0008578A" w:rsidP="0008578A">
      <w:pPr>
        <w:spacing w:line="560" w:lineRule="exact"/>
        <w:ind w:firstLineChars="200" w:firstLine="599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八</w:t>
      </w:r>
      <w:r w:rsidRPr="0014186F"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、其他需要说明的问题</w:t>
      </w:r>
    </w:p>
    <w:p w:rsidR="0008578A" w:rsidRPr="0008578A" w:rsidRDefault="0008578A" w:rsidP="00B13AB6">
      <w:pPr>
        <w:topLinePunct/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无</w:t>
      </w:r>
    </w:p>
    <w:sectPr w:rsidR="0008578A" w:rsidRPr="0008578A" w:rsidSect="005D312D">
      <w:footerReference w:type="even" r:id="rId6"/>
      <w:footerReference w:type="default" r:id="rId7"/>
      <w:pgSz w:w="11907" w:h="16840"/>
      <w:pgMar w:top="1100" w:right="1253" w:bottom="873" w:left="1253" w:header="851" w:footer="1304" w:gutter="0"/>
      <w:cols w:space="720"/>
      <w:docGrid w:type="linesAndChars" w:linePitch="587" w:charSpace="-41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BD6" w:rsidRDefault="005E1BD6">
      <w:r>
        <w:separator/>
      </w:r>
    </w:p>
  </w:endnote>
  <w:endnote w:type="continuationSeparator" w:id="1">
    <w:p w:rsidR="005E1BD6" w:rsidRDefault="005E1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2D" w:rsidRDefault="00072B2D">
    <w:pPr>
      <w:pStyle w:val="a5"/>
      <w:framePr w:wrap="around" w:vAnchor="text" w:hAnchor="margin" w:xAlign="outside" w:y="1"/>
      <w:ind w:left="335"/>
      <w:rPr>
        <w:rStyle w:val="a4"/>
        <w:rFonts w:ascii="宋体" w:eastAsia="宋体" w:hAnsi="宋体"/>
        <w:sz w:val="28"/>
      </w:rPr>
    </w:pPr>
    <w:r>
      <w:rPr>
        <w:rStyle w:val="a4"/>
        <w:rFonts w:ascii="宋体" w:eastAsia="宋体" w:hAnsi="宋体"/>
        <w:sz w:val="28"/>
      </w:rPr>
      <w:t>—</w:t>
    </w:r>
    <w:r w:rsidR="00DC2ABB"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DC2ABB">
      <w:rPr>
        <w:rFonts w:ascii="宋体" w:eastAsia="宋体" w:hAnsi="宋体"/>
        <w:sz w:val="28"/>
      </w:rPr>
      <w:fldChar w:fldCharType="separate"/>
    </w:r>
    <w:r w:rsidR="001269E4">
      <w:rPr>
        <w:rStyle w:val="a4"/>
        <w:rFonts w:ascii="宋体" w:eastAsia="宋体" w:hAnsi="宋体"/>
        <w:noProof/>
        <w:sz w:val="28"/>
      </w:rPr>
      <w:t>4</w:t>
    </w:r>
    <w:r w:rsidR="00DC2ABB"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/>
        <w:sz w:val="28"/>
      </w:rPr>
      <w:t>—</w:t>
    </w:r>
  </w:p>
  <w:p w:rsidR="00072B2D" w:rsidRDefault="00072B2D">
    <w:pPr>
      <w:pStyle w:val="a5"/>
      <w:ind w:left="300" w:right="360" w:firstLine="360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B2D" w:rsidRDefault="00072B2D">
    <w:pPr>
      <w:pStyle w:val="a5"/>
      <w:framePr w:wrap="around" w:vAnchor="text" w:hAnchor="margin" w:xAlign="outside" w:y="1"/>
      <w:ind w:right="335"/>
      <w:rPr>
        <w:rStyle w:val="a4"/>
        <w:rFonts w:ascii="宋体" w:eastAsia="宋体" w:hAnsi="宋体"/>
        <w:sz w:val="28"/>
      </w:rPr>
    </w:pPr>
    <w:r>
      <w:rPr>
        <w:rStyle w:val="a4"/>
        <w:rFonts w:ascii="宋体" w:eastAsia="宋体" w:hAnsi="宋体"/>
        <w:sz w:val="28"/>
      </w:rPr>
      <w:t>—</w:t>
    </w:r>
    <w:r w:rsidR="00DC2ABB"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DC2ABB">
      <w:rPr>
        <w:rFonts w:ascii="宋体" w:eastAsia="宋体" w:hAnsi="宋体"/>
        <w:sz w:val="28"/>
      </w:rPr>
      <w:fldChar w:fldCharType="separate"/>
    </w:r>
    <w:r w:rsidR="001269E4">
      <w:rPr>
        <w:rStyle w:val="a4"/>
        <w:rFonts w:ascii="宋体" w:eastAsia="宋体" w:hAnsi="宋体"/>
        <w:noProof/>
        <w:sz w:val="28"/>
      </w:rPr>
      <w:t>5</w:t>
    </w:r>
    <w:r w:rsidR="00DC2ABB"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/>
        <w:sz w:val="28"/>
      </w:rPr>
      <w:t>—</w:t>
    </w:r>
  </w:p>
  <w:p w:rsidR="00072B2D" w:rsidRDefault="00072B2D">
    <w:pPr>
      <w:pStyle w:val="a5"/>
      <w:ind w:right="360" w:firstLine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BD6" w:rsidRDefault="005E1BD6">
      <w:r>
        <w:separator/>
      </w:r>
    </w:p>
  </w:footnote>
  <w:footnote w:type="continuationSeparator" w:id="1">
    <w:p w:rsidR="005E1BD6" w:rsidRDefault="005E1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50"/>
  <w:drawingGridVerticalSpacing w:val="587"/>
  <w:displayHorizontalDrawingGridEvery w:val="2"/>
  <w:characterSpacingControl w:val="compressPunctuation"/>
  <w:doNotValidateAgainstSchema/>
  <w:doNotDemarcateInvalidXml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2781D"/>
    <w:rsid w:val="00042C7F"/>
    <w:rsid w:val="00053422"/>
    <w:rsid w:val="000571FD"/>
    <w:rsid w:val="00072B2D"/>
    <w:rsid w:val="0008578A"/>
    <w:rsid w:val="001269E4"/>
    <w:rsid w:val="00172A27"/>
    <w:rsid w:val="001A43B2"/>
    <w:rsid w:val="001E181D"/>
    <w:rsid w:val="00215F89"/>
    <w:rsid w:val="00266AE3"/>
    <w:rsid w:val="002A57B1"/>
    <w:rsid w:val="002C496B"/>
    <w:rsid w:val="002C515E"/>
    <w:rsid w:val="002E03E1"/>
    <w:rsid w:val="002E3130"/>
    <w:rsid w:val="002F7964"/>
    <w:rsid w:val="00343258"/>
    <w:rsid w:val="00346DD2"/>
    <w:rsid w:val="003A792F"/>
    <w:rsid w:val="003B05DF"/>
    <w:rsid w:val="003C2827"/>
    <w:rsid w:val="003E764D"/>
    <w:rsid w:val="003F3922"/>
    <w:rsid w:val="004069F4"/>
    <w:rsid w:val="00491C50"/>
    <w:rsid w:val="004C0E42"/>
    <w:rsid w:val="004E5B8D"/>
    <w:rsid w:val="005125DA"/>
    <w:rsid w:val="00546A46"/>
    <w:rsid w:val="00556A0E"/>
    <w:rsid w:val="005D312D"/>
    <w:rsid w:val="005E1BD6"/>
    <w:rsid w:val="0060693D"/>
    <w:rsid w:val="006111CF"/>
    <w:rsid w:val="00623EA3"/>
    <w:rsid w:val="0067795E"/>
    <w:rsid w:val="006B091E"/>
    <w:rsid w:val="006D0205"/>
    <w:rsid w:val="006D308F"/>
    <w:rsid w:val="0072440C"/>
    <w:rsid w:val="00753128"/>
    <w:rsid w:val="007734BB"/>
    <w:rsid w:val="007B2062"/>
    <w:rsid w:val="007B6457"/>
    <w:rsid w:val="007F34A6"/>
    <w:rsid w:val="00861FD9"/>
    <w:rsid w:val="00866497"/>
    <w:rsid w:val="0089500A"/>
    <w:rsid w:val="008A1C80"/>
    <w:rsid w:val="008D57BE"/>
    <w:rsid w:val="008E1BC6"/>
    <w:rsid w:val="00935CD1"/>
    <w:rsid w:val="00940235"/>
    <w:rsid w:val="00972939"/>
    <w:rsid w:val="009B0DCD"/>
    <w:rsid w:val="009B419F"/>
    <w:rsid w:val="009C2E7B"/>
    <w:rsid w:val="009D45D1"/>
    <w:rsid w:val="00A72125"/>
    <w:rsid w:val="00AE4829"/>
    <w:rsid w:val="00B13AB6"/>
    <w:rsid w:val="00B30E7C"/>
    <w:rsid w:val="00B334D0"/>
    <w:rsid w:val="00B621D2"/>
    <w:rsid w:val="00BD52E9"/>
    <w:rsid w:val="00CE0E47"/>
    <w:rsid w:val="00CE6445"/>
    <w:rsid w:val="00D12A7E"/>
    <w:rsid w:val="00D35BF5"/>
    <w:rsid w:val="00D64D6B"/>
    <w:rsid w:val="00D76A5B"/>
    <w:rsid w:val="00DC2ABB"/>
    <w:rsid w:val="00E70A60"/>
    <w:rsid w:val="00EB5DC2"/>
    <w:rsid w:val="00EC2AC2"/>
    <w:rsid w:val="00EE7BCC"/>
    <w:rsid w:val="00EF2CEE"/>
    <w:rsid w:val="00F1027C"/>
    <w:rsid w:val="00F44082"/>
    <w:rsid w:val="00F66538"/>
    <w:rsid w:val="00F714E5"/>
    <w:rsid w:val="00F8793D"/>
    <w:rsid w:val="00FB41CD"/>
    <w:rsid w:val="00FD478E"/>
    <w:rsid w:val="00FE06D7"/>
    <w:rsid w:val="31FF5C0A"/>
    <w:rsid w:val="45E66725"/>
    <w:rsid w:val="511F3696"/>
    <w:rsid w:val="560E420E"/>
    <w:rsid w:val="613E4268"/>
    <w:rsid w:val="6AFB357B"/>
    <w:rsid w:val="6C8F1413"/>
    <w:rsid w:val="7BB6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2D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12D"/>
    <w:rPr>
      <w:rFonts w:cs="Times New Roman"/>
      <w:color w:val="0000FF"/>
      <w:u w:val="single"/>
    </w:rPr>
  </w:style>
  <w:style w:type="character" w:styleId="a4">
    <w:name w:val="page number"/>
    <w:basedOn w:val="a0"/>
    <w:rsid w:val="005D312D"/>
    <w:rPr>
      <w:rFonts w:cs="Times New Roman"/>
    </w:rPr>
  </w:style>
  <w:style w:type="character" w:customStyle="1" w:styleId="Char">
    <w:name w:val="页脚 Char"/>
    <w:basedOn w:val="a0"/>
    <w:link w:val="a5"/>
    <w:rsid w:val="005D312D"/>
    <w:rPr>
      <w:rFonts w:eastAsia="仿宋_GB2312" w:cs="Times New Roman"/>
      <w:sz w:val="18"/>
      <w:szCs w:val="18"/>
    </w:rPr>
  </w:style>
  <w:style w:type="character" w:customStyle="1" w:styleId="Char0">
    <w:name w:val="页眉 Char"/>
    <w:basedOn w:val="a0"/>
    <w:link w:val="a6"/>
    <w:rsid w:val="005D312D"/>
    <w:rPr>
      <w:rFonts w:eastAsia="仿宋_GB2312" w:cs="Times New Roman"/>
      <w:sz w:val="18"/>
      <w:szCs w:val="18"/>
    </w:rPr>
  </w:style>
  <w:style w:type="character" w:customStyle="1" w:styleId="Char1">
    <w:name w:val="正文文本缩进 Char"/>
    <w:basedOn w:val="a0"/>
    <w:link w:val="a7"/>
    <w:rsid w:val="005D312D"/>
    <w:rPr>
      <w:rFonts w:eastAsia="仿宋_GB2312" w:cs="Times New Roman"/>
      <w:sz w:val="20"/>
      <w:szCs w:val="20"/>
    </w:rPr>
  </w:style>
  <w:style w:type="character" w:customStyle="1" w:styleId="Char2">
    <w:name w:val="日期 Char"/>
    <w:basedOn w:val="a0"/>
    <w:link w:val="a8"/>
    <w:rsid w:val="005D312D"/>
    <w:rPr>
      <w:rFonts w:eastAsia="仿宋_GB2312" w:cs="Times New Roman"/>
      <w:sz w:val="20"/>
      <w:szCs w:val="20"/>
    </w:rPr>
  </w:style>
  <w:style w:type="paragraph" w:styleId="a6">
    <w:name w:val="header"/>
    <w:basedOn w:val="a"/>
    <w:link w:val="Char0"/>
    <w:rsid w:val="005D3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Char2"/>
    <w:rsid w:val="005D312D"/>
    <w:pPr>
      <w:ind w:leftChars="2500" w:left="100"/>
    </w:pPr>
    <w:rPr>
      <w:sz w:val="20"/>
    </w:rPr>
  </w:style>
  <w:style w:type="paragraph" w:styleId="a5">
    <w:name w:val="footer"/>
    <w:basedOn w:val="a"/>
    <w:link w:val="Char"/>
    <w:rsid w:val="005D3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 Indent"/>
    <w:basedOn w:val="a"/>
    <w:link w:val="Char1"/>
    <w:rsid w:val="005D312D"/>
    <w:pPr>
      <w:ind w:firstLineChars="200" w:firstLine="632"/>
    </w:pPr>
    <w:rPr>
      <w:sz w:val="20"/>
    </w:rPr>
  </w:style>
  <w:style w:type="paragraph" w:customStyle="1" w:styleId="CharCharCharCharCharChar">
    <w:name w:val="Char Char Char Char Char Char"/>
    <w:basedOn w:val="a"/>
    <w:rsid w:val="005D312D"/>
    <w:pPr>
      <w:adjustRightInd w:val="0"/>
    </w:pPr>
    <w:rPr>
      <w:rFonts w:ascii="Tahoma" w:eastAsia="宋体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376</Words>
  <Characters>2144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Company>家用电脑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益财会〔2002〕4号</dc:title>
  <dc:creator>y</dc:creator>
  <cp:lastModifiedBy>lenovo</cp:lastModifiedBy>
  <cp:revision>18</cp:revision>
  <cp:lastPrinted>2018-04-11T03:10:00Z</cp:lastPrinted>
  <dcterms:created xsi:type="dcterms:W3CDTF">2020-04-02T09:10:00Z</dcterms:created>
  <dcterms:modified xsi:type="dcterms:W3CDTF">2020-04-03T09:10:00Z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