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D3" w:rsidRPr="004011D2" w:rsidRDefault="00F94D7A" w:rsidP="004011D2">
      <w:pPr>
        <w:spacing w:line="560" w:lineRule="exact"/>
        <w:jc w:val="center"/>
        <w:rPr>
          <w:rFonts w:ascii="方正小标宋简体" w:eastAsia="方正小标宋简体" w:hAnsi="宋体" w:cs="宋体"/>
          <w:bCs/>
          <w:sz w:val="44"/>
          <w:szCs w:val="44"/>
        </w:rPr>
      </w:pPr>
      <w:r w:rsidRPr="004011D2">
        <w:rPr>
          <w:rFonts w:ascii="方正小标宋简体" w:eastAsia="方正小标宋简体" w:hAnsi="宋体" w:cs="宋体" w:hint="eastAsia"/>
          <w:bCs/>
          <w:sz w:val="44"/>
          <w:szCs w:val="44"/>
        </w:rPr>
        <w:t>社会消费品零售总额统计调查工作</w:t>
      </w:r>
    </w:p>
    <w:p w:rsidR="009C6A3C" w:rsidRPr="004011D2" w:rsidRDefault="00F94D7A" w:rsidP="004011D2">
      <w:pPr>
        <w:spacing w:line="560" w:lineRule="exact"/>
        <w:jc w:val="center"/>
        <w:rPr>
          <w:rFonts w:ascii="方正小标宋简体" w:eastAsia="方正小标宋简体" w:hAnsi="宋体" w:cs="宋体"/>
          <w:bCs/>
          <w:sz w:val="44"/>
          <w:szCs w:val="44"/>
        </w:rPr>
      </w:pPr>
      <w:r w:rsidRPr="004011D2">
        <w:rPr>
          <w:rFonts w:ascii="方正小标宋简体" w:eastAsia="方正小标宋简体" w:hAnsi="宋体" w:cs="宋体" w:hint="eastAsia"/>
          <w:bCs/>
          <w:sz w:val="44"/>
          <w:szCs w:val="44"/>
        </w:rPr>
        <w:t>项目支出绩效评价报告</w:t>
      </w:r>
    </w:p>
    <w:p w:rsidR="009C6A3C" w:rsidRPr="004011D2" w:rsidRDefault="009C6A3C" w:rsidP="004011D2">
      <w:pPr>
        <w:spacing w:line="560" w:lineRule="exact"/>
        <w:jc w:val="center"/>
        <w:rPr>
          <w:rFonts w:ascii="方正小标宋简体" w:eastAsia="方正小标宋简体" w:hAnsi="宋体" w:cs="宋体"/>
          <w:bCs/>
          <w:sz w:val="44"/>
          <w:szCs w:val="44"/>
        </w:rPr>
      </w:pPr>
    </w:p>
    <w:p w:rsidR="009C6A3C" w:rsidRPr="004011D2" w:rsidRDefault="00F94D7A" w:rsidP="004011D2">
      <w:pPr>
        <w:spacing w:line="560" w:lineRule="exact"/>
        <w:ind w:firstLineChars="200" w:firstLine="640"/>
        <w:rPr>
          <w:rFonts w:ascii="黑体" w:eastAsia="黑体" w:hAnsi="黑体"/>
          <w:szCs w:val="32"/>
        </w:rPr>
      </w:pPr>
      <w:r w:rsidRPr="004011D2">
        <w:rPr>
          <w:rFonts w:ascii="黑体" w:eastAsia="黑体" w:hAnsi="黑体" w:hint="eastAsia"/>
          <w:szCs w:val="32"/>
        </w:rPr>
        <w:t>一、基本情况</w:t>
      </w:r>
    </w:p>
    <w:p w:rsidR="009C6A3C" w:rsidRPr="004011D2" w:rsidRDefault="004011D2" w:rsidP="00F77074">
      <w:pPr>
        <w:spacing w:line="560" w:lineRule="exact"/>
        <w:ind w:firstLineChars="200" w:firstLine="640"/>
        <w:rPr>
          <w:rFonts w:ascii="楷体_GB2312" w:eastAsia="楷体_GB2312"/>
          <w:szCs w:val="32"/>
        </w:rPr>
      </w:pPr>
      <w:r w:rsidRPr="004011D2">
        <w:rPr>
          <w:rFonts w:ascii="楷体_GB2312" w:eastAsia="楷体_GB2312" w:hint="eastAsia"/>
          <w:szCs w:val="32"/>
        </w:rPr>
        <w:t>（一）项目概况</w:t>
      </w:r>
    </w:p>
    <w:p w:rsidR="009C6A3C" w:rsidRPr="00F82F4B" w:rsidRDefault="00F94D7A" w:rsidP="00F77074">
      <w:pPr>
        <w:spacing w:line="560" w:lineRule="exact"/>
        <w:ind w:firstLineChars="200" w:firstLine="640"/>
        <w:rPr>
          <w:rFonts w:ascii="仿宋_GB2312"/>
          <w:szCs w:val="32"/>
        </w:rPr>
      </w:pPr>
      <w:r>
        <w:rPr>
          <w:rFonts w:ascii="仿宋_GB2312" w:hint="eastAsia"/>
          <w:szCs w:val="32"/>
        </w:rPr>
        <w:t>社会消费品零售总额统计调查是经国务院批准，由国家统计局组织实施的一项重要工作，社会消费品零售总额统计调查</w:t>
      </w:r>
      <w:r w:rsidRPr="00F82F4B">
        <w:rPr>
          <w:rFonts w:ascii="仿宋_GB2312" w:hint="eastAsia"/>
          <w:szCs w:val="32"/>
        </w:rPr>
        <w:t>项目是根据《中华人民共和国统计法》、《贸易统计制度》要求由国家统计局组织实施的一项重要工作，由各级统计机构承担具体工作。目的是统计行政区划贸易企业规模、结构和效益，为政府科学决策，制定相关政策提供的统计数据依据。</w:t>
      </w:r>
      <w:bookmarkStart w:id="0" w:name="_GoBack"/>
      <w:bookmarkEnd w:id="0"/>
    </w:p>
    <w:p w:rsidR="009C6A3C" w:rsidRPr="004011D2" w:rsidRDefault="004011D2" w:rsidP="00F77074">
      <w:pPr>
        <w:spacing w:line="560" w:lineRule="exact"/>
        <w:ind w:firstLineChars="200" w:firstLine="640"/>
        <w:rPr>
          <w:rFonts w:ascii="楷体_GB2312" w:eastAsia="楷体_GB2312"/>
          <w:szCs w:val="32"/>
        </w:rPr>
      </w:pPr>
      <w:r w:rsidRPr="004011D2">
        <w:rPr>
          <w:rFonts w:ascii="楷体_GB2312" w:eastAsia="楷体_GB2312" w:hint="eastAsia"/>
          <w:szCs w:val="32"/>
        </w:rPr>
        <w:t>（二）项目绩效目标</w:t>
      </w:r>
    </w:p>
    <w:p w:rsidR="009C6A3C" w:rsidRDefault="00F94D7A" w:rsidP="004011D2">
      <w:pPr>
        <w:spacing w:line="560" w:lineRule="exact"/>
        <w:ind w:firstLineChars="200" w:firstLine="640"/>
        <w:rPr>
          <w:rFonts w:ascii="仿宋_GB2312"/>
          <w:szCs w:val="32"/>
        </w:rPr>
      </w:pPr>
      <w:r w:rsidRPr="00F82F4B">
        <w:rPr>
          <w:rFonts w:ascii="仿宋_GB2312" w:hint="eastAsia"/>
          <w:szCs w:val="32"/>
        </w:rPr>
        <w:t>严格按照《中华人民共和国统计法》、《贸易统计制度》要求，顺利完成全区</w:t>
      </w:r>
      <w:r w:rsidRPr="00A52774">
        <w:rPr>
          <w:rFonts w:ascii="Times New Roman" w:hAnsi="Times New Roman"/>
          <w:szCs w:val="32"/>
        </w:rPr>
        <w:t>201</w:t>
      </w:r>
      <w:r w:rsidR="00700D3B" w:rsidRPr="00A52774">
        <w:rPr>
          <w:rFonts w:ascii="Times New Roman" w:hAnsi="Times New Roman"/>
          <w:szCs w:val="32"/>
        </w:rPr>
        <w:t>9</w:t>
      </w:r>
      <w:r w:rsidRPr="00F82F4B">
        <w:rPr>
          <w:rFonts w:ascii="仿宋_GB2312" w:hint="eastAsia"/>
          <w:szCs w:val="32"/>
        </w:rPr>
        <w:t>年限额以上贸易企业统计报表工作，客观真实反映全区商业经济发展状况，促进全区经济发展，促进和改善民生，实现经济社会又好又快的发展。</w:t>
      </w:r>
    </w:p>
    <w:p w:rsidR="009C6A3C" w:rsidRPr="004011D2" w:rsidRDefault="004011D2" w:rsidP="004011D2">
      <w:pPr>
        <w:spacing w:line="560" w:lineRule="exact"/>
        <w:ind w:firstLineChars="200" w:firstLine="640"/>
        <w:rPr>
          <w:rFonts w:ascii="黑体" w:eastAsia="黑体" w:hAnsi="黑体"/>
          <w:szCs w:val="32"/>
        </w:rPr>
      </w:pPr>
      <w:r w:rsidRPr="004011D2">
        <w:rPr>
          <w:rFonts w:ascii="黑体" w:eastAsia="黑体" w:hAnsi="黑体" w:hint="eastAsia"/>
          <w:szCs w:val="32"/>
        </w:rPr>
        <w:t>二、项目单位绩效报告情况</w:t>
      </w:r>
    </w:p>
    <w:p w:rsidR="009C6A3C" w:rsidRDefault="00F94D7A" w:rsidP="004011D2">
      <w:pPr>
        <w:spacing w:line="560" w:lineRule="exact"/>
        <w:ind w:firstLineChars="200" w:firstLine="640"/>
        <w:rPr>
          <w:rFonts w:ascii="仿宋_GB2312" w:cs="仿宋_GB2312"/>
          <w:bCs/>
          <w:szCs w:val="32"/>
        </w:rPr>
      </w:pPr>
      <w:r>
        <w:rPr>
          <w:rFonts w:ascii="仿宋_GB2312" w:hAnsi="仿宋_GB2312" w:cs="仿宋_GB2312" w:hint="eastAsia"/>
          <w:bCs/>
          <w:szCs w:val="32"/>
        </w:rPr>
        <w:t>项目科室建立健全项目实施预算方案、财务管理制度和会计核算制度，此次绩效评价过程中未发现有截留、挤占或挪用项目资金情况。</w:t>
      </w:r>
    </w:p>
    <w:p w:rsidR="009C6A3C" w:rsidRPr="004011D2" w:rsidRDefault="00F94D7A" w:rsidP="004011D2">
      <w:pPr>
        <w:spacing w:line="560" w:lineRule="exact"/>
        <w:ind w:firstLineChars="200" w:firstLine="640"/>
        <w:rPr>
          <w:rFonts w:ascii="黑体" w:eastAsia="黑体" w:hAnsi="黑体"/>
          <w:szCs w:val="32"/>
        </w:rPr>
      </w:pPr>
      <w:r w:rsidRPr="004011D2">
        <w:rPr>
          <w:rFonts w:ascii="黑体" w:eastAsia="黑体" w:hAnsi="黑体" w:hint="eastAsia"/>
          <w:szCs w:val="32"/>
        </w:rPr>
        <w:t>三、绩效评价工作情况</w:t>
      </w:r>
    </w:p>
    <w:p w:rsidR="009C6A3C" w:rsidRPr="004011D2" w:rsidRDefault="004011D2" w:rsidP="004011D2">
      <w:pPr>
        <w:spacing w:line="560" w:lineRule="exact"/>
        <w:ind w:firstLineChars="200" w:firstLine="640"/>
        <w:rPr>
          <w:rFonts w:ascii="楷体_GB2312" w:eastAsia="楷体_GB2312"/>
          <w:szCs w:val="32"/>
        </w:rPr>
      </w:pPr>
      <w:r w:rsidRPr="004011D2">
        <w:rPr>
          <w:rFonts w:ascii="楷体_GB2312" w:eastAsia="楷体_GB2312" w:hint="eastAsia"/>
          <w:szCs w:val="32"/>
        </w:rPr>
        <w:t>（一）绩效评价目的</w:t>
      </w:r>
    </w:p>
    <w:p w:rsidR="009C6A3C" w:rsidRDefault="00F94D7A" w:rsidP="00D923A5">
      <w:pPr>
        <w:spacing w:line="560" w:lineRule="exact"/>
        <w:ind w:firstLineChars="200" w:firstLine="640"/>
        <w:rPr>
          <w:rFonts w:ascii="仿宋_GB2312"/>
          <w:szCs w:val="32"/>
        </w:rPr>
      </w:pPr>
      <w:r>
        <w:rPr>
          <w:rFonts w:ascii="仿宋_GB2312" w:hint="eastAsia"/>
          <w:szCs w:val="32"/>
        </w:rPr>
        <w:t>为进一步加强预算绩效管理，强化支出责任，提高财政</w:t>
      </w:r>
      <w:r>
        <w:rPr>
          <w:rFonts w:ascii="仿宋_GB2312" w:hint="eastAsia"/>
          <w:szCs w:val="32"/>
        </w:rPr>
        <w:lastRenderedPageBreak/>
        <w:t>资金使用效率。</w:t>
      </w:r>
    </w:p>
    <w:p w:rsidR="009C6A3C" w:rsidRPr="004011D2" w:rsidRDefault="004011D2" w:rsidP="00D923A5">
      <w:pPr>
        <w:spacing w:line="560" w:lineRule="exact"/>
        <w:ind w:firstLineChars="200" w:firstLine="640"/>
        <w:rPr>
          <w:rFonts w:ascii="楷体_GB2312" w:eastAsia="楷体_GB2312"/>
          <w:szCs w:val="32"/>
        </w:rPr>
      </w:pPr>
      <w:r w:rsidRPr="004011D2">
        <w:rPr>
          <w:rFonts w:ascii="楷体_GB2312" w:eastAsia="楷体_GB2312" w:hint="eastAsia"/>
          <w:szCs w:val="32"/>
        </w:rPr>
        <w:t>（二）绩效评价原则、评价指标体系、评价方法</w:t>
      </w:r>
    </w:p>
    <w:p w:rsidR="009C6A3C" w:rsidRDefault="00F94D7A" w:rsidP="00D923A5">
      <w:pPr>
        <w:spacing w:line="560" w:lineRule="exact"/>
        <w:ind w:firstLineChars="200" w:firstLine="640"/>
        <w:rPr>
          <w:rFonts w:ascii="仿宋_GB2312"/>
          <w:szCs w:val="32"/>
        </w:rPr>
      </w:pPr>
      <w:r>
        <w:rPr>
          <w:rFonts w:ascii="仿宋_GB2312" w:hint="eastAsia"/>
          <w:szCs w:val="32"/>
        </w:rPr>
        <w:t>按《预算法》的规定，设立绩效评价体系及评价方法。</w:t>
      </w:r>
    </w:p>
    <w:p w:rsidR="009C6A3C" w:rsidRPr="004011D2" w:rsidRDefault="004011D2" w:rsidP="00D923A5">
      <w:pPr>
        <w:spacing w:line="560" w:lineRule="exact"/>
        <w:ind w:firstLineChars="200" w:firstLine="640"/>
        <w:rPr>
          <w:rFonts w:ascii="楷体_GB2312" w:eastAsia="楷体_GB2312"/>
          <w:szCs w:val="32"/>
        </w:rPr>
      </w:pPr>
      <w:r>
        <w:rPr>
          <w:rFonts w:ascii="楷体_GB2312" w:eastAsia="楷体_GB2312" w:hint="eastAsia"/>
          <w:szCs w:val="32"/>
        </w:rPr>
        <w:t>（三）</w:t>
      </w:r>
      <w:r w:rsidRPr="004011D2">
        <w:rPr>
          <w:rFonts w:ascii="楷体_GB2312" w:eastAsia="楷体_GB2312" w:hint="eastAsia"/>
          <w:szCs w:val="32"/>
        </w:rPr>
        <w:t>绩效评价工作过程</w:t>
      </w:r>
    </w:p>
    <w:p w:rsidR="009C6A3C" w:rsidRDefault="00F94D7A" w:rsidP="00D923A5">
      <w:pPr>
        <w:spacing w:line="560" w:lineRule="exact"/>
        <w:ind w:firstLineChars="200" w:firstLine="640"/>
        <w:rPr>
          <w:rFonts w:ascii="仿宋_GB2312"/>
          <w:szCs w:val="32"/>
        </w:rPr>
      </w:pPr>
      <w:r>
        <w:rPr>
          <w:rFonts w:ascii="仿宋_GB2312" w:hint="eastAsia"/>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9C6A3C" w:rsidRPr="004011D2" w:rsidRDefault="00F94D7A" w:rsidP="004011D2">
      <w:pPr>
        <w:spacing w:line="560" w:lineRule="exact"/>
        <w:ind w:firstLineChars="200" w:firstLine="640"/>
        <w:rPr>
          <w:rFonts w:ascii="黑体" w:eastAsia="黑体" w:hAnsi="黑体"/>
          <w:szCs w:val="32"/>
        </w:rPr>
      </w:pPr>
      <w:r w:rsidRPr="004011D2">
        <w:rPr>
          <w:rFonts w:ascii="黑体" w:eastAsia="黑体" w:hAnsi="黑体" w:hint="eastAsia"/>
          <w:szCs w:val="32"/>
        </w:rPr>
        <w:t>四、绩效评价指标分析情况</w:t>
      </w:r>
    </w:p>
    <w:p w:rsidR="009C6A3C" w:rsidRPr="004011D2" w:rsidRDefault="004011D2" w:rsidP="004011D2">
      <w:pPr>
        <w:spacing w:line="560" w:lineRule="exact"/>
        <w:ind w:firstLineChars="200" w:firstLine="640"/>
        <w:rPr>
          <w:rFonts w:ascii="楷体_GB2312" w:eastAsia="楷体_GB2312"/>
          <w:szCs w:val="32"/>
        </w:rPr>
      </w:pPr>
      <w:r w:rsidRPr="004011D2">
        <w:rPr>
          <w:rFonts w:ascii="楷体_GB2312" w:eastAsia="楷体_GB2312" w:hint="eastAsia"/>
          <w:szCs w:val="32"/>
        </w:rPr>
        <w:t>（一）项目资金情况分析</w:t>
      </w:r>
    </w:p>
    <w:p w:rsidR="009C6A3C" w:rsidRDefault="00F94D7A" w:rsidP="00921605">
      <w:pPr>
        <w:spacing w:line="560" w:lineRule="exact"/>
        <w:ind w:firstLineChars="200" w:firstLine="640"/>
        <w:rPr>
          <w:rFonts w:ascii="仿宋_GB2312"/>
          <w:szCs w:val="32"/>
        </w:rPr>
      </w:pPr>
      <w:r w:rsidRPr="00E57340">
        <w:rPr>
          <w:rFonts w:ascii="Times New Roman" w:eastAsia="楷体_GB2312" w:hAnsi="Times New Roman"/>
          <w:color w:val="000000"/>
          <w:szCs w:val="32"/>
        </w:rPr>
        <w:t>1</w:t>
      </w:r>
      <w:r>
        <w:rPr>
          <w:rFonts w:ascii="仿宋_GB2312"/>
          <w:szCs w:val="32"/>
        </w:rPr>
        <w:t>.</w:t>
      </w:r>
      <w:r w:rsidR="004011D2">
        <w:rPr>
          <w:rFonts w:ascii="仿宋_GB2312" w:hint="eastAsia"/>
          <w:szCs w:val="32"/>
        </w:rPr>
        <w:t>项目资金到位情况分析</w:t>
      </w:r>
    </w:p>
    <w:p w:rsidR="009C6A3C" w:rsidRPr="00921605" w:rsidRDefault="00F94D7A" w:rsidP="00921605">
      <w:pPr>
        <w:spacing w:line="560" w:lineRule="exact"/>
        <w:ind w:firstLineChars="200" w:firstLine="640"/>
        <w:rPr>
          <w:rFonts w:ascii="仿宋_GB2312"/>
          <w:szCs w:val="32"/>
        </w:rPr>
      </w:pPr>
      <w:r>
        <w:rPr>
          <w:rFonts w:ascii="仿宋_GB2312" w:hint="eastAsia"/>
          <w:szCs w:val="32"/>
        </w:rPr>
        <w:t>该项目资金为公共财政预算资金，</w:t>
      </w:r>
      <w:r w:rsidRPr="00E57340">
        <w:rPr>
          <w:rFonts w:ascii="Times New Roman" w:eastAsia="楷体_GB2312" w:hAnsi="Times New Roman"/>
          <w:color w:val="000000"/>
          <w:szCs w:val="32"/>
        </w:rPr>
        <w:t>201</w:t>
      </w:r>
      <w:r w:rsidR="00700D3B" w:rsidRPr="00E57340">
        <w:rPr>
          <w:rFonts w:ascii="Times New Roman" w:eastAsia="楷体_GB2312" w:hAnsi="Times New Roman" w:hint="eastAsia"/>
          <w:color w:val="000000"/>
          <w:szCs w:val="32"/>
        </w:rPr>
        <w:t>9</w:t>
      </w:r>
      <w:r>
        <w:rPr>
          <w:rFonts w:ascii="仿宋_GB2312" w:hint="eastAsia"/>
          <w:szCs w:val="32"/>
        </w:rPr>
        <w:t>年项目预算资金</w:t>
      </w:r>
      <w:r w:rsidR="00700D3B" w:rsidRPr="00921605">
        <w:rPr>
          <w:rFonts w:ascii="Times New Roman" w:eastAsia="楷体_GB2312" w:hAnsi="Times New Roman" w:hint="eastAsia"/>
          <w:color w:val="000000"/>
          <w:szCs w:val="32"/>
        </w:rPr>
        <w:t>8000</w:t>
      </w:r>
      <w:r w:rsidRPr="00921605">
        <w:rPr>
          <w:rFonts w:ascii="仿宋_GB2312" w:hint="eastAsia"/>
          <w:szCs w:val="32"/>
        </w:rPr>
        <w:t>元，财政拨付项目资金</w:t>
      </w:r>
      <w:r w:rsidR="00700D3B" w:rsidRPr="00921605">
        <w:rPr>
          <w:rFonts w:ascii="Times New Roman" w:eastAsia="楷体_GB2312" w:hAnsi="Times New Roman" w:hint="eastAsia"/>
          <w:color w:val="000000"/>
          <w:szCs w:val="32"/>
        </w:rPr>
        <w:t>8000</w:t>
      </w:r>
      <w:r w:rsidRPr="00921605">
        <w:rPr>
          <w:rFonts w:ascii="仿宋_GB2312" w:hint="eastAsia"/>
          <w:szCs w:val="32"/>
        </w:rPr>
        <w:t>元，资金到位率为</w:t>
      </w:r>
      <w:r w:rsidRPr="00921605">
        <w:rPr>
          <w:rFonts w:ascii="Times New Roman" w:eastAsia="楷体_GB2312" w:hAnsi="Times New Roman"/>
          <w:color w:val="000000"/>
          <w:szCs w:val="32"/>
        </w:rPr>
        <w:t>100%</w:t>
      </w:r>
      <w:r w:rsidRPr="00921605">
        <w:rPr>
          <w:rFonts w:ascii="仿宋_GB2312" w:hint="eastAsia"/>
          <w:szCs w:val="32"/>
        </w:rPr>
        <w:t>。</w:t>
      </w:r>
    </w:p>
    <w:p w:rsidR="009C6A3C" w:rsidRDefault="00F94D7A" w:rsidP="00921605">
      <w:pPr>
        <w:spacing w:line="560" w:lineRule="exact"/>
        <w:ind w:firstLineChars="200" w:firstLine="640"/>
        <w:rPr>
          <w:rFonts w:ascii="仿宋_GB2312"/>
          <w:szCs w:val="32"/>
        </w:rPr>
      </w:pPr>
      <w:r w:rsidRPr="00E57340">
        <w:rPr>
          <w:rFonts w:ascii="Times New Roman" w:eastAsia="楷体_GB2312" w:hAnsi="Times New Roman"/>
          <w:color w:val="000000"/>
          <w:szCs w:val="32"/>
        </w:rPr>
        <w:t>2</w:t>
      </w:r>
      <w:r>
        <w:rPr>
          <w:rFonts w:ascii="仿宋_GB2312"/>
          <w:szCs w:val="32"/>
        </w:rPr>
        <w:t>.</w:t>
      </w:r>
      <w:r w:rsidR="004011D2">
        <w:rPr>
          <w:rFonts w:ascii="仿宋_GB2312" w:hint="eastAsia"/>
          <w:szCs w:val="32"/>
        </w:rPr>
        <w:t>项目资金使用情况分析</w:t>
      </w:r>
    </w:p>
    <w:p w:rsidR="00D923A5" w:rsidRDefault="00F94D7A" w:rsidP="00921605">
      <w:pPr>
        <w:spacing w:line="560" w:lineRule="exact"/>
        <w:ind w:firstLineChars="200" w:firstLine="640"/>
        <w:rPr>
          <w:rFonts w:ascii="仿宋_GB2312"/>
          <w:szCs w:val="32"/>
        </w:rPr>
      </w:pPr>
      <w:r>
        <w:rPr>
          <w:rFonts w:ascii="仿宋_GB2312" w:hint="eastAsia"/>
          <w:szCs w:val="32"/>
        </w:rPr>
        <w:t>该项目实际使用资金</w:t>
      </w:r>
      <w:r w:rsidR="00700D3B" w:rsidRPr="00E57340">
        <w:rPr>
          <w:rFonts w:ascii="Times New Roman" w:eastAsia="楷体_GB2312" w:hAnsi="Times New Roman" w:hint="eastAsia"/>
          <w:color w:val="000000"/>
          <w:szCs w:val="32"/>
        </w:rPr>
        <w:t>7776</w:t>
      </w:r>
      <w:r>
        <w:rPr>
          <w:rFonts w:ascii="仿宋_GB2312" w:hint="eastAsia"/>
          <w:szCs w:val="32"/>
        </w:rPr>
        <w:t>元，其中，</w:t>
      </w:r>
      <w:r w:rsidR="00700D3B">
        <w:rPr>
          <w:rFonts w:ascii="仿宋_GB2312" w:hint="eastAsia"/>
          <w:szCs w:val="32"/>
        </w:rPr>
        <w:t>办公费</w:t>
      </w:r>
      <w:r w:rsidR="00E57340" w:rsidRPr="00E57340">
        <w:rPr>
          <w:rFonts w:ascii="Times New Roman" w:eastAsia="楷体_GB2312" w:hAnsi="Times New Roman" w:hint="eastAsia"/>
          <w:color w:val="000000"/>
          <w:szCs w:val="32"/>
        </w:rPr>
        <w:t>496</w:t>
      </w:r>
      <w:r>
        <w:rPr>
          <w:rFonts w:ascii="仿宋_GB2312" w:hint="eastAsia"/>
          <w:szCs w:val="32"/>
        </w:rPr>
        <w:t>元，</w:t>
      </w:r>
      <w:r w:rsidR="00E57340">
        <w:rPr>
          <w:rFonts w:ascii="仿宋_GB2312" w:hint="eastAsia"/>
          <w:szCs w:val="32"/>
        </w:rPr>
        <w:t>会议费</w:t>
      </w:r>
      <w:r w:rsidR="00E57340" w:rsidRPr="00E57340">
        <w:rPr>
          <w:rFonts w:ascii="Times New Roman" w:eastAsia="楷体_GB2312" w:hAnsi="Times New Roman" w:hint="eastAsia"/>
          <w:color w:val="000000"/>
          <w:szCs w:val="32"/>
        </w:rPr>
        <w:t>7280</w:t>
      </w:r>
      <w:r w:rsidR="00E57340">
        <w:rPr>
          <w:rFonts w:ascii="仿宋_GB2312" w:hint="eastAsia"/>
          <w:szCs w:val="32"/>
        </w:rPr>
        <w:t>元</w:t>
      </w:r>
      <w:r w:rsidR="00A52774">
        <w:rPr>
          <w:rFonts w:ascii="仿宋_GB2312" w:hint="eastAsia"/>
          <w:szCs w:val="32"/>
        </w:rPr>
        <w:t>，资金使用率</w:t>
      </w:r>
      <w:r w:rsidR="00A52774" w:rsidRPr="00E57340">
        <w:rPr>
          <w:rFonts w:ascii="Times New Roman" w:eastAsia="楷体_GB2312" w:hAnsi="Times New Roman"/>
          <w:color w:val="000000"/>
          <w:szCs w:val="32"/>
        </w:rPr>
        <w:t>9</w:t>
      </w:r>
      <w:r w:rsidR="00A52774" w:rsidRPr="00E57340">
        <w:rPr>
          <w:rFonts w:ascii="Times New Roman" w:eastAsia="楷体_GB2312" w:hAnsi="Times New Roman" w:hint="eastAsia"/>
          <w:color w:val="000000"/>
          <w:szCs w:val="32"/>
        </w:rPr>
        <w:t>7</w:t>
      </w:r>
      <w:r w:rsidR="00A52774">
        <w:rPr>
          <w:rFonts w:ascii="仿宋_GB2312" w:hint="eastAsia"/>
          <w:szCs w:val="32"/>
        </w:rPr>
        <w:t>.</w:t>
      </w:r>
      <w:r w:rsidR="00A52774" w:rsidRPr="00E57340">
        <w:rPr>
          <w:rFonts w:ascii="Times New Roman" w:eastAsia="楷体_GB2312" w:hAnsi="Times New Roman" w:hint="eastAsia"/>
          <w:color w:val="000000"/>
          <w:szCs w:val="32"/>
        </w:rPr>
        <w:t>2</w:t>
      </w:r>
      <w:r w:rsidR="00A52774" w:rsidRPr="00E57340">
        <w:rPr>
          <w:rFonts w:ascii="Times New Roman" w:eastAsia="楷体_GB2312" w:hAnsi="Times New Roman"/>
          <w:color w:val="000000"/>
          <w:szCs w:val="32"/>
        </w:rPr>
        <w:t>%</w:t>
      </w:r>
      <w:r w:rsidR="00A52774">
        <w:rPr>
          <w:rFonts w:ascii="Times New Roman" w:eastAsia="楷体_GB2312" w:hAnsi="Times New Roman" w:hint="eastAsia"/>
          <w:color w:val="000000"/>
          <w:szCs w:val="32"/>
        </w:rPr>
        <w:t>，</w:t>
      </w:r>
      <w:r w:rsidR="00A52774">
        <w:rPr>
          <w:rFonts w:ascii="仿宋_GB2312" w:hint="eastAsia"/>
          <w:szCs w:val="32"/>
        </w:rPr>
        <w:t>剩余部分年底由区财政收回</w:t>
      </w:r>
      <w:r>
        <w:rPr>
          <w:rFonts w:ascii="仿宋_GB2312" w:hint="eastAsia"/>
          <w:szCs w:val="32"/>
        </w:rPr>
        <w:t>。</w:t>
      </w:r>
    </w:p>
    <w:p w:rsidR="009C6A3C" w:rsidRDefault="00F94D7A" w:rsidP="00921605">
      <w:pPr>
        <w:spacing w:line="560" w:lineRule="exact"/>
        <w:ind w:firstLineChars="200" w:firstLine="640"/>
        <w:rPr>
          <w:rFonts w:ascii="仿宋_GB2312"/>
          <w:szCs w:val="32"/>
        </w:rPr>
      </w:pPr>
      <w:r w:rsidRPr="00E57340">
        <w:rPr>
          <w:rFonts w:ascii="Times New Roman" w:eastAsia="楷体_GB2312" w:hAnsi="Times New Roman"/>
          <w:color w:val="000000"/>
          <w:szCs w:val="32"/>
        </w:rPr>
        <w:t>3</w:t>
      </w:r>
      <w:r>
        <w:rPr>
          <w:rFonts w:ascii="仿宋_GB2312"/>
          <w:szCs w:val="32"/>
        </w:rPr>
        <w:t>.</w:t>
      </w:r>
      <w:r w:rsidR="004011D2">
        <w:rPr>
          <w:rFonts w:ascii="仿宋_GB2312" w:hint="eastAsia"/>
          <w:szCs w:val="32"/>
        </w:rPr>
        <w:t>项目资金管理情况分析</w:t>
      </w:r>
    </w:p>
    <w:p w:rsidR="009C6A3C" w:rsidRDefault="00F94D7A" w:rsidP="00921605">
      <w:pPr>
        <w:spacing w:line="560" w:lineRule="exact"/>
        <w:ind w:firstLineChars="200" w:firstLine="640"/>
        <w:rPr>
          <w:rFonts w:ascii="仿宋_GB2312"/>
          <w:szCs w:val="32"/>
        </w:rPr>
      </w:pPr>
      <w:r w:rsidRPr="00E57340">
        <w:rPr>
          <w:rFonts w:ascii="Times New Roman" w:eastAsia="楷体_GB2312" w:hAnsi="Times New Roman"/>
          <w:color w:val="000000"/>
          <w:szCs w:val="32"/>
        </w:rPr>
        <w:t>201</w:t>
      </w:r>
      <w:r w:rsidR="00E57340" w:rsidRPr="00E57340">
        <w:rPr>
          <w:rFonts w:ascii="Times New Roman" w:eastAsia="楷体_GB2312" w:hAnsi="Times New Roman" w:hint="eastAsia"/>
          <w:color w:val="000000"/>
          <w:szCs w:val="32"/>
        </w:rPr>
        <w:t>9</w:t>
      </w:r>
      <w:r>
        <w:rPr>
          <w:rFonts w:ascii="仿宋_GB2312" w:hint="eastAsia"/>
          <w:szCs w:val="32"/>
        </w:rPr>
        <w:t>年该项目所有资金实行专款专用。项目支出均有相关授权审批，资金拨付严格审批程序，使用规范，会计核算结果准确、真实。项目科室建立健全项目实施预算方案、财务管理制度和会计核算制度，此次绩效评价过程中未发现有</w:t>
      </w:r>
      <w:r>
        <w:rPr>
          <w:rFonts w:ascii="仿宋_GB2312" w:hint="eastAsia"/>
          <w:szCs w:val="32"/>
        </w:rPr>
        <w:lastRenderedPageBreak/>
        <w:t>截留、挤占或挪用项目资金情况。</w:t>
      </w:r>
    </w:p>
    <w:p w:rsidR="009C6A3C" w:rsidRPr="004011D2" w:rsidRDefault="004011D2" w:rsidP="00D923A5">
      <w:pPr>
        <w:spacing w:line="560" w:lineRule="exact"/>
        <w:ind w:firstLineChars="200" w:firstLine="640"/>
        <w:rPr>
          <w:rFonts w:ascii="楷体_GB2312" w:eastAsia="楷体_GB2312"/>
          <w:szCs w:val="32"/>
        </w:rPr>
      </w:pPr>
      <w:r>
        <w:rPr>
          <w:rFonts w:ascii="楷体_GB2312" w:eastAsia="楷体_GB2312" w:hint="eastAsia"/>
          <w:szCs w:val="32"/>
        </w:rPr>
        <w:t>（二）</w:t>
      </w:r>
      <w:r w:rsidRPr="004011D2">
        <w:rPr>
          <w:rFonts w:ascii="楷体_GB2312" w:eastAsia="楷体_GB2312" w:hint="eastAsia"/>
          <w:szCs w:val="32"/>
        </w:rPr>
        <w:t>项目实施情况分析</w:t>
      </w:r>
    </w:p>
    <w:p w:rsidR="00D923A5" w:rsidRDefault="00F94D7A" w:rsidP="00921605">
      <w:pPr>
        <w:spacing w:line="560" w:lineRule="exact"/>
        <w:ind w:firstLineChars="200" w:firstLine="640"/>
        <w:rPr>
          <w:rFonts w:ascii="仿宋_GB2312"/>
          <w:szCs w:val="32"/>
        </w:rPr>
      </w:pPr>
      <w:r w:rsidRPr="00E57340">
        <w:rPr>
          <w:rFonts w:ascii="Times New Roman" w:eastAsia="楷体_GB2312" w:hAnsi="Times New Roman"/>
          <w:color w:val="000000"/>
          <w:szCs w:val="32"/>
        </w:rPr>
        <w:t>1</w:t>
      </w:r>
      <w:r>
        <w:rPr>
          <w:rFonts w:ascii="仿宋_GB2312"/>
          <w:szCs w:val="32"/>
        </w:rPr>
        <w:t>.</w:t>
      </w:r>
      <w:r w:rsidR="004011D2">
        <w:rPr>
          <w:rFonts w:ascii="仿宋_GB2312" w:hint="eastAsia"/>
          <w:szCs w:val="32"/>
        </w:rPr>
        <w:t>项目组织情况分析</w:t>
      </w:r>
    </w:p>
    <w:p w:rsidR="00D923A5" w:rsidRDefault="00F94D7A" w:rsidP="00D923A5">
      <w:pPr>
        <w:spacing w:line="560" w:lineRule="exact"/>
        <w:ind w:firstLineChars="200" w:firstLine="640"/>
        <w:outlineLvl w:val="0"/>
        <w:rPr>
          <w:rFonts w:ascii="仿宋_GB2312"/>
          <w:szCs w:val="32"/>
        </w:rPr>
      </w:pPr>
      <w:r>
        <w:rPr>
          <w:rFonts w:ascii="仿宋_GB2312" w:hint="eastAsia"/>
          <w:szCs w:val="32"/>
        </w:rPr>
        <w:t>每季度定期召开专业考评结果通报会议，对照检查、指出差距、落实整改，同时落实国家统计局《统计调查工作流程规范》精神，提高对调查数据质量重要性和紧迫性的认识，强化统计局“一把手”数据质量负责制。</w:t>
      </w:r>
    </w:p>
    <w:p w:rsidR="00D923A5" w:rsidRDefault="00F94D7A" w:rsidP="00D923A5">
      <w:pPr>
        <w:spacing w:line="560" w:lineRule="exact"/>
        <w:ind w:firstLineChars="200" w:firstLine="640"/>
        <w:outlineLvl w:val="0"/>
        <w:rPr>
          <w:rFonts w:ascii="仿宋_GB2312"/>
          <w:szCs w:val="32"/>
        </w:rPr>
      </w:pPr>
      <w:r>
        <w:rPr>
          <w:rFonts w:ascii="仿宋_GB2312" w:hint="eastAsia"/>
          <w:szCs w:val="32"/>
        </w:rPr>
        <w:t>完善数据质量检查记录制度，切实加强社会消费品调查专业业务培训、基层基础规范化建设，提高基层网点调查数据质量，确保源头数据稳定。除了按照制度方法规定，抓好调查网点维护、数据采集、推算、审核外，对专业数据资料综合、整理过程，要认真再审核、再评估、再把关，从宏观和微观两个角度确保调查结果的科学性与客观性要加强调查数据开发、提高数据利用效率。</w:t>
      </w:r>
    </w:p>
    <w:p w:rsidR="009C6A3C" w:rsidRDefault="00F94D7A" w:rsidP="00D923A5">
      <w:pPr>
        <w:spacing w:line="560" w:lineRule="exact"/>
        <w:ind w:firstLineChars="200" w:firstLine="640"/>
        <w:outlineLvl w:val="0"/>
        <w:rPr>
          <w:rFonts w:ascii="仿宋_GB2312"/>
          <w:szCs w:val="32"/>
        </w:rPr>
      </w:pPr>
      <w:r>
        <w:rPr>
          <w:rFonts w:ascii="仿宋_GB2312" w:hint="eastAsia"/>
          <w:szCs w:val="32"/>
        </w:rPr>
        <w:t>抓好数据评估工作。重点是做好社会消费品零售总额数据评估，根据专业数据评估规程，规范调查数据评估，确保调查数据质量。最后，做好数据发布工作。严格数据发布工作程序，把好数据出口审核关、审批关。</w:t>
      </w:r>
    </w:p>
    <w:p w:rsidR="009C6A3C" w:rsidRDefault="00F94D7A" w:rsidP="00D923A5">
      <w:pPr>
        <w:spacing w:line="560" w:lineRule="exact"/>
        <w:ind w:firstLineChars="200" w:firstLine="640"/>
        <w:rPr>
          <w:rFonts w:ascii="仿宋_GB2312"/>
          <w:szCs w:val="32"/>
        </w:rPr>
      </w:pPr>
      <w:r w:rsidRPr="00E57340">
        <w:rPr>
          <w:rFonts w:ascii="Times New Roman" w:eastAsia="楷体_GB2312" w:hAnsi="Times New Roman"/>
          <w:color w:val="000000"/>
          <w:szCs w:val="32"/>
        </w:rPr>
        <w:t>2</w:t>
      </w:r>
      <w:r>
        <w:rPr>
          <w:rFonts w:ascii="仿宋_GB2312"/>
          <w:szCs w:val="32"/>
        </w:rPr>
        <w:t>.</w:t>
      </w:r>
      <w:r w:rsidR="004011D2">
        <w:rPr>
          <w:rFonts w:ascii="仿宋_GB2312" w:hint="eastAsia"/>
          <w:szCs w:val="32"/>
        </w:rPr>
        <w:t>项目管理情况分析</w:t>
      </w:r>
    </w:p>
    <w:p w:rsidR="009C6A3C" w:rsidRPr="00F82F4B" w:rsidRDefault="00F94D7A" w:rsidP="00F82F4B">
      <w:pPr>
        <w:spacing w:line="560" w:lineRule="exact"/>
        <w:ind w:firstLineChars="200" w:firstLine="640"/>
        <w:rPr>
          <w:rFonts w:ascii="仿宋_GB2312"/>
          <w:bCs/>
          <w:szCs w:val="32"/>
        </w:rPr>
      </w:pPr>
      <w:r w:rsidRPr="00F82F4B">
        <w:rPr>
          <w:rFonts w:ascii="仿宋_GB2312" w:hint="eastAsia"/>
          <w:bCs/>
          <w:szCs w:val="32"/>
        </w:rPr>
        <w:t>该项目属于长期性项目，主要用于全区限额以上贸易企业的调查培训、上下级单位走访调研企业的公务接待。</w:t>
      </w:r>
    </w:p>
    <w:p w:rsidR="009C6A3C" w:rsidRPr="004011D2" w:rsidRDefault="004011D2" w:rsidP="00D923A5">
      <w:pPr>
        <w:spacing w:line="560" w:lineRule="exact"/>
        <w:ind w:firstLineChars="200" w:firstLine="640"/>
        <w:rPr>
          <w:rFonts w:ascii="楷体_GB2312" w:eastAsia="楷体_GB2312"/>
          <w:szCs w:val="32"/>
        </w:rPr>
      </w:pPr>
      <w:r w:rsidRPr="004011D2">
        <w:rPr>
          <w:rFonts w:ascii="楷体_GB2312" w:eastAsia="楷体_GB2312" w:hint="eastAsia"/>
          <w:szCs w:val="32"/>
        </w:rPr>
        <w:t>（三）项目绩效情况分析</w:t>
      </w:r>
    </w:p>
    <w:p w:rsidR="009C6A3C" w:rsidRDefault="00F94D7A" w:rsidP="00D923A5">
      <w:pPr>
        <w:spacing w:line="560" w:lineRule="exact"/>
        <w:ind w:firstLineChars="200" w:firstLine="640"/>
        <w:rPr>
          <w:rFonts w:ascii="仿宋_GB2312"/>
          <w:szCs w:val="32"/>
        </w:rPr>
      </w:pPr>
      <w:r w:rsidRPr="00E57340">
        <w:rPr>
          <w:rFonts w:ascii="Times New Roman" w:eastAsia="楷体_GB2312" w:hAnsi="Times New Roman"/>
          <w:color w:val="000000"/>
          <w:szCs w:val="32"/>
        </w:rPr>
        <w:t>1</w:t>
      </w:r>
      <w:r>
        <w:rPr>
          <w:rFonts w:ascii="仿宋_GB2312"/>
          <w:szCs w:val="32"/>
        </w:rPr>
        <w:t>.</w:t>
      </w:r>
      <w:r w:rsidR="004011D2">
        <w:rPr>
          <w:rFonts w:ascii="仿宋_GB2312" w:hint="eastAsia"/>
          <w:szCs w:val="32"/>
        </w:rPr>
        <w:t>项目经济性分析</w:t>
      </w:r>
    </w:p>
    <w:p w:rsidR="009C6A3C" w:rsidRDefault="00F94D7A" w:rsidP="00D923A5">
      <w:pPr>
        <w:spacing w:line="560" w:lineRule="exact"/>
        <w:ind w:firstLineChars="200" w:firstLine="640"/>
        <w:rPr>
          <w:rFonts w:ascii="仿宋_GB2312"/>
          <w:szCs w:val="32"/>
        </w:rPr>
      </w:pPr>
      <w:r>
        <w:rPr>
          <w:rFonts w:ascii="仿宋_GB2312" w:hint="eastAsia"/>
          <w:szCs w:val="32"/>
        </w:rPr>
        <w:t>该项目资金为公共财政预算资金，</w:t>
      </w:r>
      <w:r w:rsidR="00E57340" w:rsidRPr="00E57340">
        <w:rPr>
          <w:rFonts w:ascii="Times New Roman" w:eastAsia="楷体_GB2312" w:hAnsi="Times New Roman"/>
          <w:color w:val="000000"/>
          <w:szCs w:val="32"/>
        </w:rPr>
        <w:t>201</w:t>
      </w:r>
      <w:r w:rsidR="00E57340" w:rsidRPr="00E57340">
        <w:rPr>
          <w:rFonts w:ascii="Times New Roman" w:eastAsia="楷体_GB2312" w:hAnsi="Times New Roman" w:hint="eastAsia"/>
          <w:color w:val="000000"/>
          <w:szCs w:val="32"/>
        </w:rPr>
        <w:t>9</w:t>
      </w:r>
      <w:r w:rsidR="00E57340">
        <w:rPr>
          <w:rFonts w:ascii="仿宋_GB2312" w:hint="eastAsia"/>
          <w:szCs w:val="32"/>
        </w:rPr>
        <w:t>年项目预算资金</w:t>
      </w:r>
      <w:r w:rsidR="00E57340" w:rsidRPr="00E57340">
        <w:rPr>
          <w:rFonts w:ascii="Times New Roman" w:eastAsia="楷体_GB2312" w:hAnsi="Times New Roman" w:hint="eastAsia"/>
          <w:color w:val="000000"/>
          <w:szCs w:val="32"/>
        </w:rPr>
        <w:lastRenderedPageBreak/>
        <w:t>8000</w:t>
      </w:r>
      <w:r w:rsidR="00E57340">
        <w:rPr>
          <w:rFonts w:ascii="仿宋_GB2312" w:hint="eastAsia"/>
          <w:szCs w:val="32"/>
        </w:rPr>
        <w:t>元，财政拨付项目资金</w:t>
      </w:r>
      <w:r w:rsidR="00E57340" w:rsidRPr="00E57340">
        <w:rPr>
          <w:rFonts w:ascii="Times New Roman" w:eastAsia="楷体_GB2312" w:hAnsi="Times New Roman" w:hint="eastAsia"/>
          <w:color w:val="000000"/>
          <w:szCs w:val="32"/>
        </w:rPr>
        <w:t>8000</w:t>
      </w:r>
      <w:r w:rsidR="00E57340">
        <w:rPr>
          <w:rFonts w:ascii="仿宋_GB2312" w:hint="eastAsia"/>
          <w:szCs w:val="32"/>
        </w:rPr>
        <w:t>元，资金到位率为</w:t>
      </w:r>
      <w:r w:rsidR="00E57340" w:rsidRPr="00E57340">
        <w:rPr>
          <w:rFonts w:ascii="Times New Roman" w:eastAsia="楷体_GB2312" w:hAnsi="Times New Roman"/>
          <w:color w:val="000000"/>
          <w:szCs w:val="32"/>
        </w:rPr>
        <w:t>100%</w:t>
      </w:r>
      <w:r w:rsidR="00E57340">
        <w:rPr>
          <w:rFonts w:ascii="仿宋_GB2312" w:hint="eastAsia"/>
          <w:szCs w:val="32"/>
        </w:rPr>
        <w:t>。该项目实际使用资金</w:t>
      </w:r>
      <w:r w:rsidR="00E57340" w:rsidRPr="00E57340">
        <w:rPr>
          <w:rFonts w:ascii="Times New Roman" w:eastAsia="楷体_GB2312" w:hAnsi="Times New Roman" w:hint="eastAsia"/>
          <w:color w:val="000000"/>
          <w:szCs w:val="32"/>
        </w:rPr>
        <w:t>7776</w:t>
      </w:r>
      <w:r w:rsidR="00E57340">
        <w:rPr>
          <w:rFonts w:ascii="仿宋_GB2312" w:hint="eastAsia"/>
          <w:szCs w:val="32"/>
        </w:rPr>
        <w:t>元，资金使用率</w:t>
      </w:r>
      <w:r w:rsidR="00E57340" w:rsidRPr="00E57340">
        <w:rPr>
          <w:rFonts w:ascii="Times New Roman" w:eastAsia="楷体_GB2312" w:hAnsi="Times New Roman"/>
          <w:color w:val="000000"/>
          <w:szCs w:val="32"/>
        </w:rPr>
        <w:t>9</w:t>
      </w:r>
      <w:r w:rsidR="00E57340" w:rsidRPr="00E57340">
        <w:rPr>
          <w:rFonts w:ascii="Times New Roman" w:eastAsia="楷体_GB2312" w:hAnsi="Times New Roman" w:hint="eastAsia"/>
          <w:color w:val="000000"/>
          <w:szCs w:val="32"/>
        </w:rPr>
        <w:t>7</w:t>
      </w:r>
      <w:r w:rsidR="00E57340">
        <w:rPr>
          <w:rFonts w:ascii="仿宋_GB2312" w:hint="eastAsia"/>
          <w:szCs w:val="32"/>
        </w:rPr>
        <w:t>.</w:t>
      </w:r>
      <w:r w:rsidR="00E57340" w:rsidRPr="00E57340">
        <w:rPr>
          <w:rFonts w:ascii="Times New Roman" w:eastAsia="楷体_GB2312" w:hAnsi="Times New Roman" w:hint="eastAsia"/>
          <w:color w:val="000000"/>
          <w:szCs w:val="32"/>
        </w:rPr>
        <w:t>2</w:t>
      </w:r>
      <w:r w:rsidR="00E57340" w:rsidRPr="00E57340">
        <w:rPr>
          <w:rFonts w:ascii="Times New Roman" w:eastAsia="楷体_GB2312" w:hAnsi="Times New Roman"/>
          <w:color w:val="000000"/>
          <w:szCs w:val="32"/>
        </w:rPr>
        <w:t>%</w:t>
      </w:r>
      <w:r w:rsidR="00E57340">
        <w:rPr>
          <w:rFonts w:ascii="仿宋_GB2312" w:hint="eastAsia"/>
          <w:szCs w:val="32"/>
        </w:rPr>
        <w:t>。其中，办公费</w:t>
      </w:r>
      <w:r w:rsidR="00E57340" w:rsidRPr="00E57340">
        <w:rPr>
          <w:rFonts w:ascii="Times New Roman" w:eastAsia="楷体_GB2312" w:hAnsi="Times New Roman" w:hint="eastAsia"/>
          <w:color w:val="000000"/>
          <w:szCs w:val="32"/>
        </w:rPr>
        <w:t>496</w:t>
      </w:r>
      <w:r w:rsidR="00E57340">
        <w:rPr>
          <w:rFonts w:ascii="仿宋_GB2312" w:hint="eastAsia"/>
          <w:szCs w:val="32"/>
        </w:rPr>
        <w:t>元，会议费</w:t>
      </w:r>
      <w:r w:rsidR="00E57340" w:rsidRPr="00E57340">
        <w:rPr>
          <w:rFonts w:ascii="Times New Roman" w:eastAsia="楷体_GB2312" w:hAnsi="Times New Roman" w:hint="eastAsia"/>
          <w:color w:val="000000"/>
          <w:szCs w:val="32"/>
        </w:rPr>
        <w:t>7280</w:t>
      </w:r>
      <w:r w:rsidR="00E57340">
        <w:rPr>
          <w:rFonts w:ascii="仿宋_GB2312" w:hint="eastAsia"/>
          <w:szCs w:val="32"/>
        </w:rPr>
        <w:t>元。</w:t>
      </w:r>
    </w:p>
    <w:p w:rsidR="009C6A3C" w:rsidRDefault="00F94D7A" w:rsidP="00D923A5">
      <w:pPr>
        <w:spacing w:line="560" w:lineRule="exact"/>
        <w:ind w:firstLineChars="200" w:firstLine="640"/>
        <w:rPr>
          <w:rFonts w:ascii="仿宋_GB2312"/>
          <w:szCs w:val="32"/>
        </w:rPr>
      </w:pPr>
      <w:r w:rsidRPr="007F4068">
        <w:rPr>
          <w:rFonts w:ascii="Times New Roman" w:eastAsia="楷体_GB2312" w:hAnsi="Times New Roman"/>
          <w:color w:val="000000"/>
          <w:szCs w:val="32"/>
        </w:rPr>
        <w:t>2</w:t>
      </w:r>
      <w:r>
        <w:rPr>
          <w:rFonts w:ascii="仿宋_GB2312"/>
          <w:szCs w:val="32"/>
        </w:rPr>
        <w:t>.</w:t>
      </w:r>
      <w:r w:rsidR="004011D2">
        <w:rPr>
          <w:rFonts w:ascii="仿宋_GB2312" w:hint="eastAsia"/>
          <w:szCs w:val="32"/>
        </w:rPr>
        <w:t>项目的效率性分析</w:t>
      </w:r>
    </w:p>
    <w:p w:rsidR="009C6A3C" w:rsidRDefault="00F94D7A" w:rsidP="00D923A5">
      <w:pPr>
        <w:spacing w:line="560" w:lineRule="exact"/>
        <w:ind w:firstLineChars="200" w:firstLine="640"/>
        <w:rPr>
          <w:rFonts w:ascii="仿宋_GB2312"/>
          <w:szCs w:val="32"/>
        </w:rPr>
      </w:pPr>
      <w:r>
        <w:rPr>
          <w:rFonts w:ascii="仿宋_GB2312" w:hint="eastAsia"/>
          <w:szCs w:val="32"/>
        </w:rPr>
        <w:t>社会消费品零售总额调</w:t>
      </w:r>
      <w:r w:rsidR="00073895">
        <w:rPr>
          <w:rFonts w:ascii="仿宋_GB2312" w:hint="eastAsia"/>
          <w:szCs w:val="32"/>
        </w:rPr>
        <w:t>查的内容主要为企业月度销售额情况和季度财务指标情况。涉及范围</w:t>
      </w:r>
      <w:r>
        <w:rPr>
          <w:rFonts w:ascii="仿宋_GB2312" w:hint="eastAsia"/>
          <w:szCs w:val="32"/>
        </w:rPr>
        <w:t>包括限额以上批发业、限额以上零售业、限额以上住宿业、限额以上餐饮业企业。</w:t>
      </w:r>
      <w:r w:rsidRPr="00073895">
        <w:rPr>
          <w:rFonts w:ascii="Times New Roman" w:hAnsi="Times New Roman"/>
          <w:szCs w:val="32"/>
        </w:rPr>
        <w:t>201</w:t>
      </w:r>
      <w:r w:rsidR="00073895" w:rsidRPr="00073895">
        <w:rPr>
          <w:rFonts w:ascii="Times New Roman" w:hAnsi="Times New Roman"/>
          <w:szCs w:val="32"/>
        </w:rPr>
        <w:t>9</w:t>
      </w:r>
      <w:r w:rsidRPr="00073895">
        <w:rPr>
          <w:rFonts w:ascii="Times New Roman" w:hAnsi="Times New Roman"/>
          <w:szCs w:val="32"/>
        </w:rPr>
        <w:t>年</w:t>
      </w:r>
      <w:r w:rsidR="00073895" w:rsidRPr="00073895">
        <w:rPr>
          <w:rFonts w:ascii="Times New Roman" w:hAnsi="Times New Roman"/>
          <w:szCs w:val="32"/>
        </w:rPr>
        <w:t>1-10</w:t>
      </w:r>
      <w:r w:rsidR="00073895" w:rsidRPr="00073895">
        <w:rPr>
          <w:rFonts w:ascii="Times New Roman" w:hAnsi="Times New Roman"/>
          <w:szCs w:val="32"/>
        </w:rPr>
        <w:t>月，呈贡区</w:t>
      </w:r>
      <w:r w:rsidRPr="00073895">
        <w:rPr>
          <w:rFonts w:ascii="Times New Roman" w:hAnsi="Times New Roman"/>
          <w:szCs w:val="32"/>
        </w:rPr>
        <w:t>实际管辖</w:t>
      </w:r>
      <w:r w:rsidR="00073895" w:rsidRPr="00073895">
        <w:rPr>
          <w:rFonts w:ascii="Times New Roman" w:hAnsi="Times New Roman"/>
          <w:szCs w:val="32"/>
        </w:rPr>
        <w:t>范围内限额以上社会消费品零售额</w:t>
      </w:r>
      <w:r w:rsidRPr="00073895">
        <w:rPr>
          <w:rFonts w:ascii="Times New Roman" w:hAnsi="Times New Roman"/>
          <w:szCs w:val="32"/>
        </w:rPr>
        <w:t>实现</w:t>
      </w:r>
      <w:r w:rsidR="00073895" w:rsidRPr="00073895">
        <w:rPr>
          <w:rFonts w:ascii="Times New Roman" w:hAnsi="Times New Roman"/>
          <w:szCs w:val="32"/>
        </w:rPr>
        <w:t>112573</w:t>
      </w:r>
      <w:r w:rsidRPr="00073895">
        <w:rPr>
          <w:rFonts w:ascii="Times New Roman" w:hAnsi="Times New Roman"/>
          <w:szCs w:val="32"/>
        </w:rPr>
        <w:t>万元，</w:t>
      </w:r>
      <w:r w:rsidR="00073895" w:rsidRPr="00073895">
        <w:rPr>
          <w:rFonts w:ascii="Times New Roman" w:hAnsi="Times New Roman"/>
          <w:szCs w:val="32"/>
        </w:rPr>
        <w:t>增速为</w:t>
      </w:r>
      <w:r w:rsidR="00073895" w:rsidRPr="00073895">
        <w:rPr>
          <w:rFonts w:ascii="Times New Roman" w:hAnsi="Times New Roman"/>
          <w:szCs w:val="32"/>
        </w:rPr>
        <w:t>38</w:t>
      </w:r>
      <w:r w:rsidR="007F4068">
        <w:rPr>
          <w:rFonts w:ascii="仿宋_GB2312" w:hint="eastAsia"/>
          <w:szCs w:val="32"/>
        </w:rPr>
        <w:t>.</w:t>
      </w:r>
      <w:r w:rsidR="00073895" w:rsidRPr="00073895">
        <w:rPr>
          <w:rFonts w:ascii="Times New Roman" w:hAnsi="Times New Roman"/>
          <w:szCs w:val="32"/>
        </w:rPr>
        <w:t>2</w:t>
      </w:r>
      <w:r w:rsidRPr="00073895">
        <w:rPr>
          <w:rFonts w:ascii="Times New Roman" w:hAnsi="Times New Roman"/>
          <w:szCs w:val="32"/>
        </w:rPr>
        <w:t>%</w:t>
      </w:r>
      <w:r>
        <w:rPr>
          <w:rFonts w:ascii="仿宋_GB2312" w:hint="eastAsia"/>
          <w:szCs w:val="32"/>
        </w:rPr>
        <w:t>。</w:t>
      </w:r>
    </w:p>
    <w:p w:rsidR="009C6A3C" w:rsidRDefault="00F94D7A" w:rsidP="00D923A5">
      <w:pPr>
        <w:spacing w:line="560" w:lineRule="exact"/>
        <w:ind w:firstLineChars="200" w:firstLine="640"/>
        <w:rPr>
          <w:rFonts w:ascii="仿宋_GB2312"/>
          <w:szCs w:val="32"/>
        </w:rPr>
      </w:pPr>
      <w:r w:rsidRPr="007F4068">
        <w:rPr>
          <w:rFonts w:ascii="Times New Roman" w:eastAsia="楷体_GB2312" w:hAnsi="Times New Roman"/>
          <w:color w:val="000000"/>
          <w:szCs w:val="32"/>
        </w:rPr>
        <w:t>3</w:t>
      </w:r>
      <w:r>
        <w:rPr>
          <w:rFonts w:ascii="仿宋_GB2312"/>
          <w:szCs w:val="32"/>
        </w:rPr>
        <w:t>.</w:t>
      </w:r>
      <w:r w:rsidR="004011D2">
        <w:rPr>
          <w:rFonts w:ascii="仿宋_GB2312" w:hint="eastAsia"/>
          <w:szCs w:val="32"/>
        </w:rPr>
        <w:t>项目的效益性分析</w:t>
      </w:r>
    </w:p>
    <w:p w:rsidR="009C6A3C" w:rsidRDefault="00F94D7A" w:rsidP="00D923A5">
      <w:pPr>
        <w:spacing w:line="560" w:lineRule="exact"/>
        <w:ind w:firstLineChars="200" w:firstLine="640"/>
        <w:rPr>
          <w:rFonts w:ascii="楷体_GB2312" w:eastAsia="楷体_GB2312"/>
          <w:szCs w:val="32"/>
        </w:rPr>
      </w:pPr>
      <w:r>
        <w:rPr>
          <w:rFonts w:ascii="仿宋_GB2312" w:hint="eastAsia"/>
          <w:szCs w:val="32"/>
        </w:rPr>
        <w:t>推行社会消费品零售总额统计调查工作对真实准确反映全区商业企业运行发展情况，统筹城乡发展，促进居民增收，构建和谐社会具有重要意义。</w:t>
      </w:r>
      <w:r>
        <w:rPr>
          <w:rFonts w:ascii="仿宋_GB2312" w:hAnsi="宋体" w:cs="宋体" w:hint="eastAsia"/>
          <w:szCs w:val="32"/>
        </w:rPr>
        <w:t>为全区实现跨越式发展提供决策参考。为各有关部门制定企业发展政策提供参考依据。</w:t>
      </w:r>
      <w:r>
        <w:rPr>
          <w:rFonts w:ascii="仿宋_GB2312" w:hAnsi="仿宋_GB2312" w:cs="仿宋_GB2312" w:hint="eastAsia"/>
          <w:bCs/>
          <w:szCs w:val="32"/>
        </w:rPr>
        <w:t>为社会各界、人民群众提供数据指导，</w:t>
      </w:r>
      <w:r>
        <w:rPr>
          <w:rFonts w:ascii="仿宋_GB2312" w:hAnsi="宋体" w:cs="宋体" w:hint="eastAsia"/>
          <w:szCs w:val="32"/>
        </w:rPr>
        <w:t>促进民生改善，实现经济社会又好又快的发展。</w:t>
      </w:r>
    </w:p>
    <w:p w:rsidR="009C6A3C" w:rsidRPr="004011D2" w:rsidRDefault="004011D2" w:rsidP="00D923A5">
      <w:pPr>
        <w:spacing w:line="560" w:lineRule="exact"/>
        <w:ind w:firstLineChars="200" w:firstLine="640"/>
        <w:rPr>
          <w:rFonts w:ascii="黑体" w:eastAsia="黑体" w:hAnsi="黑体"/>
          <w:szCs w:val="32"/>
        </w:rPr>
      </w:pPr>
      <w:r>
        <w:rPr>
          <w:rFonts w:ascii="黑体" w:eastAsia="黑体" w:hAnsi="黑体" w:hint="eastAsia"/>
          <w:szCs w:val="32"/>
        </w:rPr>
        <w:t>五、</w:t>
      </w:r>
      <w:r w:rsidRPr="004011D2">
        <w:rPr>
          <w:rFonts w:ascii="黑体" w:eastAsia="黑体" w:hAnsi="黑体" w:hint="eastAsia"/>
          <w:szCs w:val="32"/>
        </w:rPr>
        <w:t>综合评价情况及评价结论</w:t>
      </w:r>
    </w:p>
    <w:p w:rsidR="009C6A3C" w:rsidRDefault="00F94D7A" w:rsidP="00D923A5">
      <w:pPr>
        <w:spacing w:line="560" w:lineRule="exact"/>
        <w:ind w:firstLineChars="200" w:firstLine="640"/>
        <w:rPr>
          <w:rFonts w:ascii="仿宋_GB2312" w:cs="仿宋_GB2312"/>
          <w:bCs/>
          <w:szCs w:val="32"/>
        </w:rPr>
      </w:pPr>
      <w:r>
        <w:rPr>
          <w:rFonts w:ascii="仿宋_GB2312" w:hint="eastAsia"/>
          <w:szCs w:val="32"/>
        </w:rPr>
        <w:t>社会消费品零售总额统计调查</w:t>
      </w:r>
      <w:r>
        <w:rPr>
          <w:rFonts w:ascii="仿宋_GB2312" w:hAnsi="仿宋_GB2312" w:cs="仿宋_GB2312" w:hint="eastAsia"/>
          <w:bCs/>
          <w:szCs w:val="32"/>
        </w:rPr>
        <w:t>工作立项规范，所提交文件、材料符合相关要求，项目的实施为呈贡区</w:t>
      </w:r>
      <w:r>
        <w:rPr>
          <w:rFonts w:ascii="仿宋_GB2312" w:hint="eastAsia"/>
          <w:szCs w:val="32"/>
        </w:rPr>
        <w:t>社会消费品零售总额统计调查</w:t>
      </w:r>
      <w:r>
        <w:rPr>
          <w:rFonts w:ascii="仿宋_GB2312" w:hAnsi="仿宋_GB2312" w:cs="仿宋_GB2312" w:hint="eastAsia"/>
          <w:bCs/>
          <w:szCs w:val="32"/>
        </w:rPr>
        <w:t>工作提供了保障，项目的社会效益广泛，具有可持续性，服务对象总体满意。每月均按时提供呈贡区</w:t>
      </w:r>
      <w:r>
        <w:rPr>
          <w:rFonts w:ascii="仿宋_GB2312" w:hint="eastAsia"/>
          <w:szCs w:val="32"/>
        </w:rPr>
        <w:t>社会消费品零售总额统计</w:t>
      </w:r>
      <w:r>
        <w:rPr>
          <w:rFonts w:ascii="仿宋_GB2312" w:hAnsi="仿宋_GB2312" w:cs="仿宋_GB2312" w:hint="eastAsia"/>
          <w:bCs/>
          <w:szCs w:val="32"/>
        </w:rPr>
        <w:t>数据，根据收入数据编写信息和调查报告上报区两办，为区政府及相关部门了解商业企业运行情况，上级及各有关部门制定居民增收政策提供了有力的参考</w:t>
      </w:r>
      <w:r>
        <w:rPr>
          <w:rFonts w:ascii="仿宋_GB2312" w:hAnsi="仿宋_GB2312" w:cs="仿宋_GB2312" w:hint="eastAsia"/>
          <w:bCs/>
          <w:szCs w:val="32"/>
        </w:rPr>
        <w:lastRenderedPageBreak/>
        <w:t>依据。每季度提供并按时发布调查数据，为社会各界、人民群众提供数据指导，自评等级优秀。</w:t>
      </w:r>
    </w:p>
    <w:p w:rsidR="009C6A3C" w:rsidRPr="004011D2" w:rsidRDefault="004011D2" w:rsidP="00D923A5">
      <w:pPr>
        <w:spacing w:line="560" w:lineRule="exact"/>
        <w:ind w:firstLineChars="200" w:firstLine="640"/>
        <w:rPr>
          <w:rFonts w:ascii="黑体" w:eastAsia="黑体" w:hAnsi="黑体"/>
          <w:szCs w:val="32"/>
        </w:rPr>
      </w:pPr>
      <w:r>
        <w:rPr>
          <w:rFonts w:ascii="黑体" w:eastAsia="黑体" w:hAnsi="黑体" w:hint="eastAsia"/>
          <w:szCs w:val="32"/>
        </w:rPr>
        <w:t>六、</w:t>
      </w:r>
      <w:r w:rsidRPr="004011D2">
        <w:rPr>
          <w:rFonts w:ascii="黑体" w:eastAsia="黑体" w:hAnsi="黑体" w:hint="eastAsia"/>
          <w:szCs w:val="32"/>
        </w:rPr>
        <w:t>主要经验及做法、存在的问题和建议</w:t>
      </w:r>
    </w:p>
    <w:p w:rsidR="009C6A3C" w:rsidRDefault="00F94D7A" w:rsidP="00D923A5">
      <w:pPr>
        <w:spacing w:line="560" w:lineRule="exact"/>
        <w:ind w:firstLineChars="200" w:firstLine="640"/>
        <w:rPr>
          <w:rFonts w:ascii="仿宋_GB2312"/>
          <w:bCs/>
          <w:szCs w:val="32"/>
        </w:rPr>
      </w:pPr>
      <w:r>
        <w:rPr>
          <w:rFonts w:ascii="仿宋_GB2312" w:hint="eastAsia"/>
          <w:bCs/>
          <w:szCs w:val="32"/>
        </w:rPr>
        <w:t>项目支出绩效评价运行实践经验还欠缺，相关制度建设还有待进一步加强。现阶段项目指标面临着物价、劳务费等因素的影响，在编制预算与执行中，区统计局将尽量做到科学、合理的分配。</w:t>
      </w:r>
    </w:p>
    <w:p w:rsidR="009C6A3C" w:rsidRDefault="009C6A3C" w:rsidP="00D923A5">
      <w:pPr>
        <w:spacing w:line="560" w:lineRule="exact"/>
        <w:ind w:firstLine="200"/>
        <w:rPr>
          <w:rFonts w:ascii="仿宋_GB2312"/>
          <w:b/>
          <w:szCs w:val="32"/>
        </w:rPr>
      </w:pPr>
    </w:p>
    <w:p w:rsidR="00E57340" w:rsidRDefault="00E57340" w:rsidP="00D923A5">
      <w:pPr>
        <w:spacing w:line="560" w:lineRule="exact"/>
        <w:ind w:firstLine="200"/>
        <w:rPr>
          <w:rFonts w:ascii="仿宋_GB2312"/>
          <w:b/>
          <w:szCs w:val="32"/>
        </w:rPr>
      </w:pPr>
    </w:p>
    <w:p w:rsidR="009C6A3C" w:rsidRDefault="00F94D7A" w:rsidP="00D923A5">
      <w:pPr>
        <w:spacing w:line="560" w:lineRule="exact"/>
        <w:ind w:leftChars="200" w:left="640"/>
        <w:jc w:val="right"/>
        <w:rPr>
          <w:rFonts w:ascii="仿宋_GB2312"/>
          <w:bCs/>
          <w:szCs w:val="32"/>
        </w:rPr>
      </w:pPr>
      <w:r>
        <w:rPr>
          <w:rFonts w:ascii="仿宋_GB2312" w:hint="eastAsia"/>
          <w:bCs/>
          <w:szCs w:val="32"/>
        </w:rPr>
        <w:t>昆明市呈贡区统计局</w:t>
      </w:r>
    </w:p>
    <w:p w:rsidR="009C6A3C" w:rsidRPr="00E57340" w:rsidRDefault="00F94D7A" w:rsidP="00D923A5">
      <w:pPr>
        <w:spacing w:line="560" w:lineRule="exact"/>
        <w:ind w:right="160"/>
        <w:jc w:val="right"/>
        <w:rPr>
          <w:rFonts w:ascii="Times New Roman" w:hAnsi="Times New Roman"/>
        </w:rPr>
      </w:pPr>
      <w:r w:rsidRPr="00E57340">
        <w:rPr>
          <w:rFonts w:ascii="Times New Roman" w:hAnsi="Times New Roman"/>
        </w:rPr>
        <w:t>2019</w:t>
      </w:r>
      <w:r w:rsidRPr="00E57340">
        <w:rPr>
          <w:rFonts w:ascii="Times New Roman"/>
        </w:rPr>
        <w:t>年</w:t>
      </w:r>
      <w:r w:rsidRPr="00E57340">
        <w:rPr>
          <w:rFonts w:ascii="Times New Roman" w:hAnsi="Times New Roman"/>
        </w:rPr>
        <w:t>3</w:t>
      </w:r>
      <w:r w:rsidRPr="00E57340">
        <w:rPr>
          <w:rFonts w:ascii="Times New Roman"/>
        </w:rPr>
        <w:t>月</w:t>
      </w:r>
      <w:r w:rsidR="00A52774">
        <w:rPr>
          <w:rFonts w:ascii="Times New Roman" w:hAnsi="Times New Roman" w:hint="eastAsia"/>
        </w:rPr>
        <w:t>28</w:t>
      </w:r>
      <w:r w:rsidRPr="00E57340">
        <w:rPr>
          <w:rFonts w:ascii="Times New Roman"/>
        </w:rPr>
        <w:t>日</w:t>
      </w:r>
    </w:p>
    <w:sectPr w:rsidR="009C6A3C" w:rsidRPr="00E57340" w:rsidSect="00D923A5">
      <w:footerReference w:type="even" r:id="rId8"/>
      <w:footerReference w:type="default" r:id="rId9"/>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8AF" w:rsidRDefault="001958AF" w:rsidP="00700D3B">
      <w:r>
        <w:separator/>
      </w:r>
    </w:p>
  </w:endnote>
  <w:endnote w:type="continuationSeparator" w:id="1">
    <w:p w:rsidR="001958AF" w:rsidRDefault="001958AF" w:rsidP="00700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A5" w:rsidRPr="00D923A5" w:rsidRDefault="00D923A5">
    <w:pPr>
      <w:pStyle w:val="a3"/>
      <w:rPr>
        <w:rFonts w:ascii="Times New Roman" w:hAnsi="Times New Roman"/>
        <w:sz w:val="28"/>
        <w:szCs w:val="28"/>
      </w:rPr>
    </w:pPr>
    <w:r w:rsidRPr="00D923A5">
      <w:rPr>
        <w:rFonts w:ascii="Times New Roman" w:hAnsi="Times New Roman"/>
        <w:sz w:val="28"/>
        <w:szCs w:val="28"/>
      </w:rPr>
      <w:t>-</w:t>
    </w:r>
    <w:r w:rsidR="00165F3D" w:rsidRPr="00D923A5">
      <w:rPr>
        <w:rFonts w:ascii="Times New Roman" w:hAnsi="Times New Roman"/>
        <w:sz w:val="28"/>
        <w:szCs w:val="28"/>
      </w:rPr>
      <w:fldChar w:fldCharType="begin"/>
    </w:r>
    <w:r w:rsidRPr="00D923A5">
      <w:rPr>
        <w:rFonts w:ascii="Times New Roman" w:hAnsi="Times New Roman"/>
        <w:sz w:val="28"/>
        <w:szCs w:val="28"/>
      </w:rPr>
      <w:instrText xml:space="preserve"> PAGE   \* MERGEFORMAT </w:instrText>
    </w:r>
    <w:r w:rsidR="00165F3D" w:rsidRPr="00D923A5">
      <w:rPr>
        <w:rFonts w:ascii="Times New Roman" w:hAnsi="Times New Roman"/>
        <w:sz w:val="28"/>
        <w:szCs w:val="28"/>
      </w:rPr>
      <w:fldChar w:fldCharType="separate"/>
    </w:r>
    <w:r w:rsidR="00F77074" w:rsidRPr="00F77074">
      <w:rPr>
        <w:rFonts w:ascii="Times New Roman" w:hAnsi="Times New Roman"/>
        <w:noProof/>
        <w:sz w:val="28"/>
        <w:szCs w:val="28"/>
        <w:lang w:val="zh-CN"/>
      </w:rPr>
      <w:t>4</w:t>
    </w:r>
    <w:r w:rsidR="00165F3D" w:rsidRPr="00D923A5">
      <w:rPr>
        <w:rFonts w:ascii="Times New Roman" w:hAnsi="Times New Roman"/>
        <w:sz w:val="28"/>
        <w:szCs w:val="28"/>
      </w:rPr>
      <w:fldChar w:fldCharType="end"/>
    </w:r>
    <w:r w:rsidRPr="00D923A5">
      <w:rPr>
        <w:rFonts w:ascii="Times New Roman" w:hAnsi="Times New Roman"/>
        <w:sz w:val="28"/>
        <w:szCs w:val="28"/>
      </w:rPr>
      <w:t>-</w:t>
    </w:r>
  </w:p>
  <w:p w:rsidR="00D923A5" w:rsidRDefault="00D923A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A5" w:rsidRPr="00D923A5" w:rsidRDefault="00D923A5">
    <w:pPr>
      <w:pStyle w:val="a3"/>
      <w:jc w:val="right"/>
      <w:rPr>
        <w:rFonts w:ascii="Times New Roman" w:hAnsi="Times New Roman"/>
        <w:sz w:val="28"/>
        <w:szCs w:val="28"/>
      </w:rPr>
    </w:pPr>
    <w:r w:rsidRPr="00D923A5">
      <w:rPr>
        <w:rFonts w:ascii="Times New Roman" w:hAnsi="Times New Roman"/>
        <w:sz w:val="28"/>
        <w:szCs w:val="28"/>
      </w:rPr>
      <w:t>-</w:t>
    </w:r>
    <w:r w:rsidR="00165F3D" w:rsidRPr="00D923A5">
      <w:rPr>
        <w:rFonts w:ascii="Times New Roman" w:hAnsi="Times New Roman"/>
        <w:sz w:val="28"/>
        <w:szCs w:val="28"/>
      </w:rPr>
      <w:fldChar w:fldCharType="begin"/>
    </w:r>
    <w:r w:rsidRPr="00D923A5">
      <w:rPr>
        <w:rFonts w:ascii="Times New Roman" w:hAnsi="Times New Roman"/>
        <w:sz w:val="28"/>
        <w:szCs w:val="28"/>
      </w:rPr>
      <w:instrText xml:space="preserve"> PAGE   \* MERGEFORMAT </w:instrText>
    </w:r>
    <w:r w:rsidR="00165F3D" w:rsidRPr="00D923A5">
      <w:rPr>
        <w:rFonts w:ascii="Times New Roman" w:hAnsi="Times New Roman"/>
        <w:sz w:val="28"/>
        <w:szCs w:val="28"/>
      </w:rPr>
      <w:fldChar w:fldCharType="separate"/>
    </w:r>
    <w:r w:rsidR="00F77074" w:rsidRPr="00F77074">
      <w:rPr>
        <w:rFonts w:ascii="Times New Roman" w:hAnsi="Times New Roman"/>
        <w:noProof/>
        <w:sz w:val="28"/>
        <w:szCs w:val="28"/>
        <w:lang w:val="zh-CN"/>
      </w:rPr>
      <w:t>5</w:t>
    </w:r>
    <w:r w:rsidR="00165F3D" w:rsidRPr="00D923A5">
      <w:rPr>
        <w:rFonts w:ascii="Times New Roman" w:hAnsi="Times New Roman"/>
        <w:sz w:val="28"/>
        <w:szCs w:val="28"/>
      </w:rPr>
      <w:fldChar w:fldCharType="end"/>
    </w:r>
    <w:r w:rsidRPr="00D923A5">
      <w:rPr>
        <w:rFonts w:ascii="Times New Roman" w:hAnsi="Times New Roman"/>
        <w:sz w:val="28"/>
        <w:szCs w:val="28"/>
      </w:rPr>
      <w:t>-</w:t>
    </w:r>
  </w:p>
  <w:p w:rsidR="00D923A5" w:rsidRDefault="00D923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8AF" w:rsidRDefault="001958AF" w:rsidP="00700D3B">
      <w:r>
        <w:separator/>
      </w:r>
    </w:p>
  </w:footnote>
  <w:footnote w:type="continuationSeparator" w:id="1">
    <w:p w:rsidR="001958AF" w:rsidRDefault="001958AF" w:rsidP="00700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2CACB"/>
    <w:multiLevelType w:val="singleLevel"/>
    <w:tmpl w:val="5AE2CACB"/>
    <w:lvl w:ilvl="0">
      <w:start w:val="3"/>
      <w:numFmt w:val="chineseCounting"/>
      <w:suff w:val="nothing"/>
      <w:lvlText w:val="（%1）"/>
      <w:lvlJc w:val="left"/>
      <w:rPr>
        <w:rFonts w:cs="Times New Roman"/>
      </w:rPr>
    </w:lvl>
  </w:abstractNum>
  <w:abstractNum w:abstractNumId="1">
    <w:nsid w:val="5AE2CCFF"/>
    <w:multiLevelType w:val="singleLevel"/>
    <w:tmpl w:val="5AE2CCFF"/>
    <w:lvl w:ilvl="0">
      <w:start w:val="2"/>
      <w:numFmt w:val="chineseCounting"/>
      <w:suff w:val="nothing"/>
      <w:lvlText w:val="（%1）"/>
      <w:lvlJc w:val="left"/>
      <w:rPr>
        <w:rFonts w:cs="Times New Roman"/>
      </w:rPr>
    </w:lvl>
  </w:abstractNum>
  <w:abstractNum w:abstractNumId="2">
    <w:nsid w:val="5AE2D353"/>
    <w:multiLevelType w:val="singleLevel"/>
    <w:tmpl w:val="5AE2D353"/>
    <w:lvl w:ilvl="0">
      <w:start w:val="5"/>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2D0E8B"/>
    <w:rsid w:val="00073895"/>
    <w:rsid w:val="00104915"/>
    <w:rsid w:val="00165F3D"/>
    <w:rsid w:val="001958AF"/>
    <w:rsid w:val="001C0F64"/>
    <w:rsid w:val="00222275"/>
    <w:rsid w:val="00261044"/>
    <w:rsid w:val="00284010"/>
    <w:rsid w:val="003D1D79"/>
    <w:rsid w:val="004011D2"/>
    <w:rsid w:val="004C51D3"/>
    <w:rsid w:val="00612B51"/>
    <w:rsid w:val="006424C6"/>
    <w:rsid w:val="0067542E"/>
    <w:rsid w:val="006853A3"/>
    <w:rsid w:val="006A101F"/>
    <w:rsid w:val="006A1F92"/>
    <w:rsid w:val="006E3A86"/>
    <w:rsid w:val="00700D3B"/>
    <w:rsid w:val="00766DF6"/>
    <w:rsid w:val="00771C04"/>
    <w:rsid w:val="007F4068"/>
    <w:rsid w:val="008560AC"/>
    <w:rsid w:val="00921605"/>
    <w:rsid w:val="00945953"/>
    <w:rsid w:val="00985C7E"/>
    <w:rsid w:val="009C6A3C"/>
    <w:rsid w:val="00A52774"/>
    <w:rsid w:val="00A76818"/>
    <w:rsid w:val="00AA03AD"/>
    <w:rsid w:val="00B27493"/>
    <w:rsid w:val="00B32FD0"/>
    <w:rsid w:val="00C66F57"/>
    <w:rsid w:val="00CF329E"/>
    <w:rsid w:val="00D055AE"/>
    <w:rsid w:val="00D923A5"/>
    <w:rsid w:val="00E22767"/>
    <w:rsid w:val="00E57340"/>
    <w:rsid w:val="00EC7DA4"/>
    <w:rsid w:val="00F77074"/>
    <w:rsid w:val="00F82F4B"/>
    <w:rsid w:val="00F83846"/>
    <w:rsid w:val="00F94D7A"/>
    <w:rsid w:val="212D0E8B"/>
    <w:rsid w:val="5C166972"/>
    <w:rsid w:val="61842204"/>
    <w:rsid w:val="707723B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3C"/>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C6A3C"/>
    <w:pPr>
      <w:tabs>
        <w:tab w:val="center" w:pos="4153"/>
        <w:tab w:val="right" w:pos="8306"/>
      </w:tabs>
      <w:snapToGrid w:val="0"/>
      <w:jc w:val="left"/>
    </w:pPr>
    <w:rPr>
      <w:sz w:val="18"/>
      <w:szCs w:val="18"/>
    </w:rPr>
  </w:style>
  <w:style w:type="paragraph" w:styleId="a4">
    <w:name w:val="header"/>
    <w:basedOn w:val="a"/>
    <w:link w:val="Char0"/>
    <w:uiPriority w:val="99"/>
    <w:unhideWhenUsed/>
    <w:rsid w:val="009C6A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C6A3C"/>
    <w:rPr>
      <w:rFonts w:eastAsia="仿宋_GB2312"/>
      <w:sz w:val="18"/>
      <w:szCs w:val="18"/>
    </w:rPr>
  </w:style>
  <w:style w:type="character" w:customStyle="1" w:styleId="Char">
    <w:name w:val="页脚 Char"/>
    <w:basedOn w:val="a0"/>
    <w:link w:val="a3"/>
    <w:uiPriority w:val="99"/>
    <w:qFormat/>
    <w:rsid w:val="009C6A3C"/>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17</cp:revision>
  <dcterms:created xsi:type="dcterms:W3CDTF">2018-04-27T06:13:00Z</dcterms:created>
  <dcterms:modified xsi:type="dcterms:W3CDTF">2020-06-11T06:47:00Z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