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CA" w:rsidRDefault="00F70E47" w:rsidP="00286158">
      <w:pPr>
        <w:spacing w:line="560" w:lineRule="exact"/>
        <w:jc w:val="center"/>
        <w:rPr>
          <w:rFonts w:ascii="方正小标宋简体" w:eastAsia="方正小标宋简体"/>
          <w:sz w:val="44"/>
          <w:szCs w:val="44"/>
        </w:rPr>
      </w:pPr>
      <w:r w:rsidRPr="00D100CA">
        <w:rPr>
          <w:rFonts w:ascii="方正小标宋简体" w:eastAsia="方正小标宋简体" w:hint="eastAsia"/>
          <w:sz w:val="44"/>
          <w:szCs w:val="44"/>
        </w:rPr>
        <w:t>社会经济统计年鉴</w:t>
      </w:r>
      <w:r w:rsidR="00E43DB6" w:rsidRPr="00D100CA">
        <w:rPr>
          <w:rFonts w:ascii="方正小标宋简体" w:eastAsia="方正小标宋简体" w:hint="eastAsia"/>
          <w:sz w:val="44"/>
          <w:szCs w:val="44"/>
        </w:rPr>
        <w:t>项目</w:t>
      </w:r>
    </w:p>
    <w:p w:rsidR="003C1377" w:rsidRPr="00D100CA" w:rsidRDefault="00E43DB6" w:rsidP="00286158">
      <w:pPr>
        <w:spacing w:line="560" w:lineRule="exact"/>
        <w:jc w:val="center"/>
        <w:rPr>
          <w:rFonts w:ascii="方正小标宋简体" w:eastAsia="方正小标宋简体"/>
          <w:sz w:val="44"/>
          <w:szCs w:val="44"/>
        </w:rPr>
      </w:pPr>
      <w:r w:rsidRPr="00D100CA">
        <w:rPr>
          <w:rFonts w:ascii="方正小标宋简体" w:eastAsia="方正小标宋简体" w:hint="eastAsia"/>
          <w:sz w:val="44"/>
          <w:szCs w:val="44"/>
        </w:rPr>
        <w:t>支出绩效评价报告</w:t>
      </w:r>
    </w:p>
    <w:p w:rsidR="00D100CA" w:rsidRPr="00D100CA" w:rsidRDefault="00D100CA" w:rsidP="00286158">
      <w:pPr>
        <w:spacing w:line="560" w:lineRule="exact"/>
        <w:jc w:val="center"/>
        <w:rPr>
          <w:rFonts w:ascii="方正小标宋简体" w:eastAsia="方正小标宋简体"/>
          <w:sz w:val="44"/>
          <w:szCs w:val="44"/>
        </w:rPr>
      </w:pPr>
    </w:p>
    <w:p w:rsidR="003C1377" w:rsidRPr="00D100CA" w:rsidRDefault="00E43DB6" w:rsidP="00286158">
      <w:pPr>
        <w:spacing w:line="560" w:lineRule="exact"/>
        <w:ind w:firstLineChars="200" w:firstLine="599"/>
        <w:rPr>
          <w:rFonts w:ascii="黑体" w:eastAsia="黑体" w:hAnsi="黑体"/>
          <w:szCs w:val="32"/>
        </w:rPr>
      </w:pPr>
      <w:r w:rsidRPr="00D100CA">
        <w:rPr>
          <w:rFonts w:ascii="黑体" w:eastAsia="黑体" w:hAnsi="黑体" w:hint="eastAsia"/>
          <w:szCs w:val="32"/>
        </w:rPr>
        <w:t>一、基本情况</w:t>
      </w:r>
    </w:p>
    <w:p w:rsidR="003C1377" w:rsidRPr="00D100CA" w:rsidRDefault="00D100CA" w:rsidP="00286158">
      <w:pPr>
        <w:spacing w:line="560" w:lineRule="exact"/>
        <w:ind w:firstLineChars="200" w:firstLine="599"/>
        <w:outlineLvl w:val="0"/>
        <w:rPr>
          <w:rFonts w:ascii="楷体_GB2312" w:eastAsia="楷体_GB2312"/>
          <w:szCs w:val="32"/>
        </w:rPr>
      </w:pPr>
      <w:r w:rsidRPr="00D100CA">
        <w:rPr>
          <w:rFonts w:ascii="楷体_GB2312" w:eastAsia="楷体_GB2312" w:hint="eastAsia"/>
          <w:szCs w:val="32"/>
        </w:rPr>
        <w:t>（一）项目概况</w:t>
      </w:r>
    </w:p>
    <w:p w:rsidR="00F70E47" w:rsidRPr="00F70E47" w:rsidRDefault="00F70E47" w:rsidP="00286158">
      <w:pPr>
        <w:spacing w:line="560" w:lineRule="exact"/>
        <w:ind w:firstLineChars="200" w:firstLine="599"/>
        <w:rPr>
          <w:rFonts w:ascii="仿宋_GB2312"/>
          <w:bCs/>
          <w:szCs w:val="32"/>
        </w:rPr>
      </w:pPr>
      <w:r w:rsidRPr="004F03E8">
        <w:rPr>
          <w:rFonts w:ascii="仿宋_GB2312" w:hint="eastAsia"/>
          <w:bCs/>
          <w:szCs w:val="32"/>
        </w:rPr>
        <w:t>社会经济统计年鉴</w:t>
      </w:r>
      <w:r>
        <w:rPr>
          <w:rFonts w:ascii="仿宋_GB2312" w:hint="eastAsia"/>
          <w:bCs/>
          <w:szCs w:val="32"/>
        </w:rPr>
        <w:t>是我局的常规统计产品，也是年度统计工作的成果体现，按内容分为综合经济指标、人口、人民生活、投资建设、农业、工业能源、国内贸易、劳动工资、财政金融、气象教育卫生计生、统计法律法规共十一个部分，是一部能</w:t>
      </w:r>
      <w:r w:rsidRPr="00F70E47">
        <w:rPr>
          <w:rFonts w:ascii="仿宋_GB2312" w:hint="eastAsia"/>
          <w:bCs/>
          <w:szCs w:val="32"/>
        </w:rPr>
        <w:t>全面反映呈贡区</w:t>
      </w:r>
      <w:r>
        <w:rPr>
          <w:rFonts w:ascii="仿宋_GB2312" w:hint="eastAsia"/>
          <w:bCs/>
          <w:szCs w:val="32"/>
        </w:rPr>
        <w:t>年度</w:t>
      </w:r>
      <w:r w:rsidRPr="00F70E47">
        <w:rPr>
          <w:rFonts w:ascii="仿宋_GB2312" w:hint="eastAsia"/>
          <w:bCs/>
          <w:szCs w:val="32"/>
        </w:rPr>
        <w:t>国民经济和社会发展情况的资料性专册，也是一部了解和研究呈贡区经济和社会发展状况的工具书。</w:t>
      </w:r>
      <w:r>
        <w:rPr>
          <w:rFonts w:ascii="仿宋_GB2312" w:hint="eastAsia"/>
          <w:bCs/>
          <w:szCs w:val="32"/>
        </w:rPr>
        <w:t>全书编辑为各统计专业人员，资料来源于统计局及财政</w:t>
      </w:r>
      <w:r w:rsidR="001B350E">
        <w:rPr>
          <w:rFonts w:ascii="仿宋_GB2312" w:hint="eastAsia"/>
          <w:bCs/>
          <w:szCs w:val="32"/>
        </w:rPr>
        <w:t>局、教育局、人民银行等相关部门。</w:t>
      </w:r>
    </w:p>
    <w:p w:rsidR="003C1377" w:rsidRPr="00D100CA" w:rsidRDefault="00D100CA" w:rsidP="00286158">
      <w:pPr>
        <w:spacing w:line="560" w:lineRule="exact"/>
        <w:ind w:firstLineChars="200" w:firstLine="599"/>
        <w:rPr>
          <w:rFonts w:ascii="楷体_GB2312" w:eastAsia="楷体_GB2312"/>
          <w:szCs w:val="32"/>
        </w:rPr>
      </w:pPr>
      <w:r>
        <w:rPr>
          <w:rFonts w:ascii="楷体_GB2312" w:eastAsia="楷体_GB2312" w:hint="eastAsia"/>
          <w:szCs w:val="32"/>
        </w:rPr>
        <w:t>（二）</w:t>
      </w:r>
      <w:r w:rsidRPr="00D100CA">
        <w:rPr>
          <w:rFonts w:ascii="楷体_GB2312" w:eastAsia="楷体_GB2312" w:hint="eastAsia"/>
          <w:szCs w:val="32"/>
        </w:rPr>
        <w:t>项目绩效目标</w:t>
      </w:r>
    </w:p>
    <w:p w:rsidR="001B350E" w:rsidRPr="00D100CA" w:rsidRDefault="001B350E" w:rsidP="00286158">
      <w:pPr>
        <w:spacing w:line="560" w:lineRule="exact"/>
        <w:ind w:firstLineChars="200" w:firstLine="599"/>
        <w:rPr>
          <w:rFonts w:ascii="仿宋_GB2312"/>
          <w:bCs/>
          <w:szCs w:val="32"/>
        </w:rPr>
      </w:pPr>
      <w:r w:rsidRPr="00D100CA">
        <w:rPr>
          <w:rFonts w:ascii="仿宋_GB2312" w:hint="eastAsia"/>
          <w:bCs/>
          <w:szCs w:val="32"/>
        </w:rPr>
        <w:t>统计局各专业统计人员要按社会经济年鉴的内容设置编辑相关基础性材料，主要为各专业年报及各职能部门年度重要数据资料，内容要能准确全年反映呈贡区年度社会经济发展各行业、各领域努力成果，统计指标口径一致，做到与历史数据衔接准确，具有较高的数据参考性和实用性。</w:t>
      </w:r>
    </w:p>
    <w:p w:rsidR="003C1377" w:rsidRPr="00D100CA" w:rsidRDefault="001B350E" w:rsidP="00286158">
      <w:pPr>
        <w:spacing w:line="560" w:lineRule="exact"/>
        <w:ind w:firstLineChars="200" w:firstLine="599"/>
        <w:rPr>
          <w:rFonts w:ascii="黑体" w:eastAsia="黑体" w:hAnsi="黑体"/>
          <w:szCs w:val="32"/>
        </w:rPr>
      </w:pPr>
      <w:r w:rsidRPr="00D100CA">
        <w:rPr>
          <w:rFonts w:ascii="黑体" w:eastAsia="黑体" w:hAnsi="黑体" w:hint="eastAsia"/>
          <w:szCs w:val="32"/>
        </w:rPr>
        <w:t>二、</w:t>
      </w:r>
      <w:r w:rsidR="00D100CA" w:rsidRPr="00D100CA">
        <w:rPr>
          <w:rFonts w:ascii="黑体" w:eastAsia="黑体" w:hAnsi="黑体" w:hint="eastAsia"/>
          <w:szCs w:val="32"/>
        </w:rPr>
        <w:t>项目单位绩效报告情况</w:t>
      </w:r>
    </w:p>
    <w:p w:rsidR="003C1377" w:rsidRPr="00D100CA" w:rsidRDefault="001B350E" w:rsidP="00286158">
      <w:pPr>
        <w:spacing w:line="560" w:lineRule="exact"/>
        <w:ind w:firstLineChars="200" w:firstLine="599"/>
        <w:rPr>
          <w:rFonts w:ascii="仿宋_GB2312"/>
          <w:bCs/>
          <w:szCs w:val="32"/>
        </w:rPr>
      </w:pPr>
      <w:r w:rsidRPr="00D100CA">
        <w:rPr>
          <w:rFonts w:ascii="仿宋_GB2312" w:hint="eastAsia"/>
          <w:bCs/>
          <w:szCs w:val="32"/>
        </w:rPr>
        <w:t>统计年鉴的编辑工作由县域监测科牵头，各科室全面配合完成，</w:t>
      </w:r>
      <w:r w:rsidR="00E43DB6" w:rsidRPr="00D100CA">
        <w:rPr>
          <w:rFonts w:ascii="仿宋_GB2312" w:hint="eastAsia"/>
          <w:bCs/>
          <w:szCs w:val="32"/>
        </w:rPr>
        <w:t>建立健全项目实施预算方案、财务管理制度和会计核算制度，</w:t>
      </w:r>
      <w:r w:rsidRPr="00D100CA">
        <w:rPr>
          <w:rFonts w:ascii="仿宋_GB2312" w:hint="eastAsia"/>
          <w:bCs/>
          <w:szCs w:val="32"/>
        </w:rPr>
        <w:t>年鉴编印做好询价对比和数据审核，</w:t>
      </w:r>
      <w:r w:rsidR="00E43DB6" w:rsidRPr="00D100CA">
        <w:rPr>
          <w:rFonts w:ascii="仿宋_GB2312" w:hint="eastAsia"/>
          <w:bCs/>
          <w:szCs w:val="32"/>
        </w:rPr>
        <w:t>此次绩效评价过程中未发现</w:t>
      </w:r>
      <w:r w:rsidR="00E43DB6" w:rsidRPr="00D100CA">
        <w:rPr>
          <w:rFonts w:ascii="仿宋_GB2312" w:hint="eastAsia"/>
          <w:bCs/>
          <w:szCs w:val="32"/>
        </w:rPr>
        <w:lastRenderedPageBreak/>
        <w:t>有截留、挤占或挪用项目资金情况。</w:t>
      </w:r>
    </w:p>
    <w:p w:rsidR="003C1377" w:rsidRPr="00D100CA" w:rsidRDefault="00E43DB6" w:rsidP="00286158">
      <w:pPr>
        <w:spacing w:line="560" w:lineRule="exact"/>
        <w:ind w:firstLineChars="200" w:firstLine="599"/>
        <w:rPr>
          <w:rFonts w:ascii="黑体" w:eastAsia="黑体" w:hAnsi="黑体"/>
          <w:szCs w:val="32"/>
        </w:rPr>
      </w:pPr>
      <w:r w:rsidRPr="00D100CA">
        <w:rPr>
          <w:rFonts w:ascii="黑体" w:eastAsia="黑体" w:hAnsi="黑体" w:hint="eastAsia"/>
          <w:szCs w:val="32"/>
        </w:rPr>
        <w:t>三、绩效评价工作情况</w:t>
      </w:r>
    </w:p>
    <w:p w:rsidR="003C1377" w:rsidRPr="00D100CA" w:rsidRDefault="00D100CA" w:rsidP="00286158">
      <w:pPr>
        <w:spacing w:line="560" w:lineRule="exact"/>
        <w:ind w:firstLineChars="200" w:firstLine="599"/>
        <w:outlineLvl w:val="0"/>
        <w:rPr>
          <w:rFonts w:ascii="楷体_GB2312" w:eastAsia="楷体_GB2312"/>
          <w:szCs w:val="32"/>
        </w:rPr>
      </w:pPr>
      <w:r w:rsidRPr="00D100CA">
        <w:rPr>
          <w:rFonts w:ascii="楷体_GB2312" w:eastAsia="楷体_GB2312" w:hint="eastAsia"/>
          <w:szCs w:val="32"/>
        </w:rPr>
        <w:t>（一）绩效评价目的</w:t>
      </w:r>
    </w:p>
    <w:p w:rsidR="003C1377" w:rsidRPr="00D100CA" w:rsidRDefault="00E43DB6" w:rsidP="00286158">
      <w:pPr>
        <w:spacing w:line="560" w:lineRule="exact"/>
        <w:ind w:firstLineChars="200" w:firstLine="599"/>
        <w:rPr>
          <w:rFonts w:ascii="仿宋_GB2312"/>
          <w:bCs/>
          <w:szCs w:val="32"/>
        </w:rPr>
      </w:pPr>
      <w:r w:rsidRPr="00D100CA">
        <w:rPr>
          <w:rFonts w:ascii="仿宋_GB2312" w:hint="eastAsia"/>
          <w:bCs/>
          <w:szCs w:val="32"/>
        </w:rPr>
        <w:t>为进一步加强预算绩效管理，强化支出责任，提高财政资金使用效率。</w:t>
      </w:r>
    </w:p>
    <w:p w:rsidR="003C1377" w:rsidRPr="00D100CA" w:rsidRDefault="00D100CA" w:rsidP="00286158">
      <w:pPr>
        <w:spacing w:line="560" w:lineRule="exact"/>
        <w:ind w:firstLineChars="200" w:firstLine="599"/>
        <w:outlineLvl w:val="0"/>
        <w:rPr>
          <w:rFonts w:ascii="楷体_GB2312" w:eastAsia="楷体_GB2312"/>
          <w:szCs w:val="32"/>
        </w:rPr>
      </w:pPr>
      <w:r w:rsidRPr="00D100CA">
        <w:rPr>
          <w:rFonts w:ascii="楷体_GB2312" w:eastAsia="楷体_GB2312" w:hint="eastAsia"/>
          <w:szCs w:val="32"/>
        </w:rPr>
        <w:t>（二）绩效评价原则、评价指标体系、评价方法</w:t>
      </w:r>
    </w:p>
    <w:p w:rsidR="003C1377" w:rsidRPr="00D100CA" w:rsidRDefault="00E43DB6" w:rsidP="00286158">
      <w:pPr>
        <w:spacing w:line="560" w:lineRule="exact"/>
        <w:ind w:firstLineChars="200" w:firstLine="599"/>
        <w:rPr>
          <w:rFonts w:ascii="仿宋_GB2312"/>
          <w:bCs/>
          <w:szCs w:val="32"/>
        </w:rPr>
      </w:pPr>
      <w:r w:rsidRPr="00D100CA">
        <w:rPr>
          <w:rFonts w:ascii="仿宋_GB2312" w:hint="eastAsia"/>
          <w:bCs/>
          <w:szCs w:val="32"/>
        </w:rPr>
        <w:t>按《预算法》的规定，设立绩效评价体系及评价方法。</w:t>
      </w:r>
    </w:p>
    <w:p w:rsidR="003C1377" w:rsidRPr="00D100CA" w:rsidRDefault="00D100CA" w:rsidP="00286158">
      <w:pPr>
        <w:spacing w:line="560" w:lineRule="exact"/>
        <w:ind w:firstLineChars="200" w:firstLine="599"/>
        <w:outlineLvl w:val="0"/>
        <w:rPr>
          <w:rFonts w:ascii="楷体_GB2312" w:eastAsia="楷体_GB2312"/>
          <w:szCs w:val="32"/>
        </w:rPr>
      </w:pPr>
      <w:r w:rsidRPr="00D100CA">
        <w:rPr>
          <w:rFonts w:ascii="楷体_GB2312" w:eastAsia="楷体_GB2312" w:hint="eastAsia"/>
          <w:szCs w:val="32"/>
        </w:rPr>
        <w:t>（三）绩效评价工作过程</w:t>
      </w:r>
    </w:p>
    <w:p w:rsidR="003C1377" w:rsidRPr="00D100CA" w:rsidRDefault="00E43DB6" w:rsidP="00286158">
      <w:pPr>
        <w:spacing w:line="560" w:lineRule="exact"/>
        <w:ind w:firstLineChars="200" w:firstLine="599"/>
        <w:rPr>
          <w:rFonts w:ascii="仿宋_GB2312"/>
          <w:bCs/>
          <w:szCs w:val="32"/>
        </w:rPr>
      </w:pPr>
      <w:r w:rsidRPr="00D100CA">
        <w:rPr>
          <w:rFonts w:ascii="仿宋_GB2312" w:hint="eastAsia"/>
          <w:bCs/>
          <w:szCs w:val="32"/>
        </w:rPr>
        <w:t>区统计局按照相关要求成立绩效评价工作领导小组，负责绩效评价工作的组织领导和具体实施，做好绩效评价的前期准备工作，包括拟定绩效评价方案，选取合适的绩效评价方式，设计绩效评价指标体系等。区统计局绩效评价领导小组按上级相关部门要求，积极开展绩效评价工作，保证工作按时完成。</w:t>
      </w:r>
    </w:p>
    <w:p w:rsidR="003C1377" w:rsidRPr="00D100CA" w:rsidRDefault="00E43DB6" w:rsidP="00286158">
      <w:pPr>
        <w:spacing w:line="560" w:lineRule="exact"/>
        <w:ind w:firstLineChars="200" w:firstLine="599"/>
        <w:rPr>
          <w:rFonts w:ascii="黑体" w:eastAsia="黑体" w:hAnsi="黑体"/>
          <w:szCs w:val="32"/>
        </w:rPr>
      </w:pPr>
      <w:r w:rsidRPr="00D100CA">
        <w:rPr>
          <w:rFonts w:ascii="黑体" w:eastAsia="黑体" w:hAnsi="黑体" w:hint="eastAsia"/>
          <w:szCs w:val="32"/>
        </w:rPr>
        <w:t>四、绩效评价指标分析情况</w:t>
      </w:r>
    </w:p>
    <w:p w:rsidR="003C1377" w:rsidRPr="00D100CA" w:rsidRDefault="00D100CA" w:rsidP="00286158">
      <w:pPr>
        <w:spacing w:line="560" w:lineRule="exact"/>
        <w:ind w:firstLineChars="200" w:firstLine="599"/>
        <w:outlineLvl w:val="0"/>
        <w:rPr>
          <w:rFonts w:ascii="楷体_GB2312" w:eastAsia="楷体_GB2312"/>
          <w:szCs w:val="32"/>
        </w:rPr>
      </w:pPr>
      <w:r w:rsidRPr="00D100CA">
        <w:rPr>
          <w:rFonts w:ascii="楷体_GB2312" w:eastAsia="楷体_GB2312" w:hint="eastAsia"/>
          <w:szCs w:val="32"/>
        </w:rPr>
        <w:t>（一）项目资金情况分析</w:t>
      </w:r>
    </w:p>
    <w:p w:rsidR="003C1377" w:rsidRDefault="00E43DB6" w:rsidP="00286158">
      <w:pPr>
        <w:spacing w:line="560" w:lineRule="exact"/>
        <w:ind w:firstLineChars="200" w:firstLine="599"/>
        <w:rPr>
          <w:rFonts w:ascii="仿宋_GB2312"/>
          <w:szCs w:val="32"/>
        </w:rPr>
      </w:pPr>
      <w:r w:rsidRPr="00FB492C">
        <w:rPr>
          <w:rFonts w:ascii="Times New Roman" w:hAnsi="Times New Roman" w:cs="Times New Roman"/>
          <w:szCs w:val="32"/>
        </w:rPr>
        <w:t>1</w:t>
      </w:r>
      <w:r>
        <w:rPr>
          <w:rFonts w:ascii="仿宋_GB2312"/>
          <w:szCs w:val="32"/>
        </w:rPr>
        <w:t>.</w:t>
      </w:r>
      <w:r w:rsidR="00D100CA">
        <w:rPr>
          <w:rFonts w:ascii="仿宋_GB2312" w:hint="eastAsia"/>
          <w:szCs w:val="32"/>
        </w:rPr>
        <w:t>项目资金到位情况分析</w:t>
      </w:r>
    </w:p>
    <w:p w:rsidR="00C66691" w:rsidRPr="00C66691" w:rsidRDefault="001B350E" w:rsidP="00286158">
      <w:pPr>
        <w:spacing w:line="560" w:lineRule="exact"/>
        <w:ind w:firstLineChars="200" w:firstLine="599"/>
        <w:rPr>
          <w:rFonts w:ascii="仿宋_GB2312"/>
          <w:szCs w:val="32"/>
        </w:rPr>
      </w:pPr>
      <w:r>
        <w:rPr>
          <w:rFonts w:ascii="仿宋_GB2312" w:hint="eastAsia"/>
          <w:szCs w:val="32"/>
        </w:rPr>
        <w:t>按照统计工作实际需求，</w:t>
      </w:r>
      <w:r w:rsidR="00C66691">
        <w:rPr>
          <w:rFonts w:ascii="仿宋_GB2312" w:hint="eastAsia"/>
          <w:szCs w:val="32"/>
        </w:rPr>
        <w:t>编印社会经济统计年鉴资料</w:t>
      </w:r>
      <w:r w:rsidR="00C66691" w:rsidRPr="00FB492C">
        <w:rPr>
          <w:rFonts w:ascii="Times New Roman" w:hAnsi="Times New Roman" w:cs="Times New Roman" w:hint="eastAsia"/>
          <w:szCs w:val="32"/>
        </w:rPr>
        <w:t>350</w:t>
      </w:r>
      <w:r w:rsidR="00C66691">
        <w:rPr>
          <w:rFonts w:ascii="仿宋_GB2312" w:hint="eastAsia"/>
          <w:szCs w:val="32"/>
        </w:rPr>
        <w:t>本需要印刷费</w:t>
      </w:r>
      <w:r w:rsidR="00C66691" w:rsidRPr="00FB492C">
        <w:rPr>
          <w:rFonts w:ascii="Times New Roman" w:hAnsi="Times New Roman" w:cs="Times New Roman" w:hint="eastAsia"/>
          <w:szCs w:val="32"/>
        </w:rPr>
        <w:t>35</w:t>
      </w:r>
      <w:r w:rsidR="004843AB">
        <w:rPr>
          <w:rFonts w:ascii="Times New Roman" w:hAnsi="Times New Roman" w:cs="Times New Roman" w:hint="eastAsia"/>
          <w:szCs w:val="32"/>
        </w:rPr>
        <w:t>000</w:t>
      </w:r>
      <w:r w:rsidR="00C66691">
        <w:rPr>
          <w:rFonts w:ascii="仿宋_GB2312" w:hint="eastAsia"/>
          <w:szCs w:val="32"/>
        </w:rPr>
        <w:t>元，我局上报预算</w:t>
      </w:r>
      <w:r w:rsidR="00C66691" w:rsidRPr="00FB492C">
        <w:rPr>
          <w:rFonts w:ascii="Times New Roman" w:hAnsi="Times New Roman" w:cs="Times New Roman" w:hint="eastAsia"/>
          <w:szCs w:val="32"/>
        </w:rPr>
        <w:t>3</w:t>
      </w:r>
      <w:r w:rsidR="004843AB" w:rsidRPr="004843AB">
        <w:rPr>
          <w:rFonts w:ascii="Times New Roman" w:hAnsi="Times New Roman" w:cs="Times New Roman" w:hint="eastAsia"/>
          <w:szCs w:val="32"/>
        </w:rPr>
        <w:t>5000</w:t>
      </w:r>
      <w:r w:rsidR="00C66691">
        <w:rPr>
          <w:rFonts w:ascii="仿宋_GB2312" w:hint="eastAsia"/>
          <w:szCs w:val="32"/>
        </w:rPr>
        <w:t>元，区财政局下拨社会经济统计年鉴印刷经费</w:t>
      </w:r>
      <w:r w:rsidR="00C66691" w:rsidRPr="00FB492C">
        <w:rPr>
          <w:rFonts w:ascii="Times New Roman" w:hAnsi="Times New Roman" w:cs="Times New Roman" w:hint="eastAsia"/>
          <w:szCs w:val="32"/>
        </w:rPr>
        <w:t>3</w:t>
      </w:r>
      <w:r w:rsidR="004843AB">
        <w:rPr>
          <w:rFonts w:ascii="Times New Roman" w:hAnsi="Times New Roman" w:cs="Times New Roman" w:hint="eastAsia"/>
          <w:szCs w:val="32"/>
        </w:rPr>
        <w:t>5</w:t>
      </w:r>
      <w:r w:rsidR="004843AB" w:rsidRPr="004843AB">
        <w:rPr>
          <w:rFonts w:ascii="Times New Roman" w:hAnsi="Times New Roman" w:cs="Times New Roman" w:hint="eastAsia"/>
          <w:szCs w:val="32"/>
        </w:rPr>
        <w:t>000</w:t>
      </w:r>
      <w:r w:rsidR="00C66691">
        <w:rPr>
          <w:rFonts w:ascii="仿宋_GB2312" w:hint="eastAsia"/>
          <w:szCs w:val="32"/>
        </w:rPr>
        <w:t>元，资金到位及时，经费充足。</w:t>
      </w:r>
    </w:p>
    <w:p w:rsidR="003C1377" w:rsidRDefault="00E43DB6" w:rsidP="00286158">
      <w:pPr>
        <w:spacing w:line="560" w:lineRule="exact"/>
        <w:ind w:firstLineChars="200" w:firstLine="599"/>
        <w:rPr>
          <w:rFonts w:ascii="仿宋_GB2312"/>
          <w:szCs w:val="32"/>
        </w:rPr>
      </w:pPr>
      <w:r w:rsidRPr="00FB492C">
        <w:rPr>
          <w:rFonts w:ascii="Times New Roman" w:hAnsi="Times New Roman" w:cs="Times New Roman" w:hint="eastAsia"/>
          <w:szCs w:val="32"/>
        </w:rPr>
        <w:t>2</w:t>
      </w:r>
      <w:r>
        <w:rPr>
          <w:rFonts w:ascii="仿宋_GB2312" w:hint="eastAsia"/>
          <w:szCs w:val="32"/>
        </w:rPr>
        <w:t>.</w:t>
      </w:r>
      <w:r w:rsidR="00D100CA">
        <w:rPr>
          <w:rFonts w:ascii="仿宋_GB2312" w:hint="eastAsia"/>
          <w:szCs w:val="32"/>
        </w:rPr>
        <w:t>项目资金使用情况分析</w:t>
      </w:r>
    </w:p>
    <w:p w:rsidR="00C66691" w:rsidRPr="00C66691" w:rsidRDefault="00C66691" w:rsidP="00286158">
      <w:pPr>
        <w:spacing w:line="560" w:lineRule="exact"/>
        <w:ind w:firstLineChars="200" w:firstLine="599"/>
        <w:rPr>
          <w:rFonts w:ascii="仿宋_GB2312"/>
          <w:szCs w:val="32"/>
        </w:rPr>
      </w:pPr>
      <w:r w:rsidRPr="00FB492C">
        <w:rPr>
          <w:rFonts w:ascii="Times New Roman" w:hAnsi="Times New Roman" w:cs="Times New Roman" w:hint="eastAsia"/>
          <w:szCs w:val="32"/>
        </w:rPr>
        <w:t>201</w:t>
      </w:r>
      <w:r w:rsidR="00FB492C">
        <w:rPr>
          <w:rFonts w:ascii="Times New Roman" w:hAnsi="Times New Roman" w:cs="Times New Roman" w:hint="eastAsia"/>
          <w:szCs w:val="32"/>
        </w:rPr>
        <w:t>9</w:t>
      </w:r>
      <w:r>
        <w:rPr>
          <w:rFonts w:ascii="仿宋_GB2312" w:hint="eastAsia"/>
          <w:szCs w:val="32"/>
        </w:rPr>
        <w:t>年社会经济统计年鉴印刷费用预算</w:t>
      </w:r>
      <w:r w:rsidR="004843AB">
        <w:rPr>
          <w:rFonts w:ascii="Times New Roman" w:hAnsi="Times New Roman" w:cs="Times New Roman" w:hint="eastAsia"/>
          <w:szCs w:val="32"/>
        </w:rPr>
        <w:t>35000</w:t>
      </w:r>
      <w:r>
        <w:rPr>
          <w:rFonts w:ascii="仿宋_GB2312" w:hint="eastAsia"/>
          <w:szCs w:val="32"/>
        </w:rPr>
        <w:t>元，区财政局拨款</w:t>
      </w:r>
      <w:r w:rsidR="004843AB">
        <w:rPr>
          <w:rFonts w:ascii="Times New Roman" w:hAnsi="Times New Roman" w:cs="Times New Roman" w:hint="eastAsia"/>
          <w:szCs w:val="32"/>
        </w:rPr>
        <w:t>35000</w:t>
      </w:r>
      <w:r>
        <w:rPr>
          <w:rFonts w:ascii="仿宋_GB2312" w:hint="eastAsia"/>
          <w:szCs w:val="32"/>
        </w:rPr>
        <w:t>元，实际支出</w:t>
      </w:r>
      <w:r w:rsidR="004843AB">
        <w:rPr>
          <w:rFonts w:ascii="Times New Roman" w:hAnsi="Times New Roman" w:cs="Times New Roman" w:hint="eastAsia"/>
          <w:szCs w:val="32"/>
        </w:rPr>
        <w:t>35000</w:t>
      </w:r>
      <w:r>
        <w:rPr>
          <w:rFonts w:ascii="仿宋_GB2312" w:hint="eastAsia"/>
          <w:szCs w:val="32"/>
        </w:rPr>
        <w:t>元，无项目结余。</w:t>
      </w:r>
    </w:p>
    <w:p w:rsidR="003C1377" w:rsidRDefault="00E43DB6" w:rsidP="00286158">
      <w:pPr>
        <w:spacing w:line="560" w:lineRule="exact"/>
        <w:ind w:firstLineChars="200" w:firstLine="599"/>
        <w:outlineLvl w:val="0"/>
        <w:rPr>
          <w:rFonts w:ascii="仿宋_GB2312"/>
          <w:szCs w:val="32"/>
        </w:rPr>
      </w:pPr>
      <w:r w:rsidRPr="00FB492C">
        <w:rPr>
          <w:rFonts w:ascii="Times New Roman" w:hAnsi="Times New Roman" w:cs="Times New Roman" w:hint="eastAsia"/>
          <w:szCs w:val="32"/>
        </w:rPr>
        <w:t>3</w:t>
      </w:r>
      <w:r>
        <w:rPr>
          <w:rFonts w:ascii="仿宋_GB2312" w:hint="eastAsia"/>
          <w:szCs w:val="32"/>
        </w:rPr>
        <w:t>.</w:t>
      </w:r>
      <w:r w:rsidR="00D100CA">
        <w:rPr>
          <w:rFonts w:ascii="仿宋_GB2312" w:hint="eastAsia"/>
          <w:szCs w:val="32"/>
        </w:rPr>
        <w:t>项目资金管理情况分析</w:t>
      </w:r>
    </w:p>
    <w:p w:rsidR="003C1377" w:rsidRDefault="00A028C1" w:rsidP="00286158">
      <w:pPr>
        <w:spacing w:line="560" w:lineRule="exact"/>
        <w:ind w:firstLineChars="200" w:firstLine="599"/>
        <w:rPr>
          <w:rFonts w:ascii="黑体" w:eastAsia="黑体"/>
          <w:szCs w:val="32"/>
        </w:rPr>
      </w:pPr>
      <w:r>
        <w:rPr>
          <w:rFonts w:ascii="仿宋_GB2312" w:hint="eastAsia"/>
          <w:szCs w:val="32"/>
        </w:rPr>
        <w:lastRenderedPageBreak/>
        <w:t>在项目资金管理上，我局由项目牵头科室县域监测科室做年初预算及资金管理，在编印统计年鉴时严格按照财经纪律实行项目询价，在对比价格与质量后，确定印刷厂家，对年鉴的排版和内容的设置进行全程沟通，把实际支出控制在预算内。由于各专业年报及部门数据会发生变动，年鉴初稿内容过多，超出预算，我局就对各专业部分内容进行裁减和简化，控制编印内容，使每本年鉴的成本控制在</w:t>
      </w:r>
      <w:r w:rsidRPr="004843AB">
        <w:rPr>
          <w:rFonts w:ascii="Times New Roman" w:hAnsi="Times New Roman" w:cs="Times New Roman" w:hint="eastAsia"/>
          <w:szCs w:val="32"/>
        </w:rPr>
        <w:t>100</w:t>
      </w:r>
      <w:r w:rsidR="00286158">
        <w:rPr>
          <w:rFonts w:ascii="仿宋_GB2312" w:hint="eastAsia"/>
          <w:szCs w:val="32"/>
        </w:rPr>
        <w:t>元，确保实际支出</w:t>
      </w:r>
      <w:r>
        <w:rPr>
          <w:rFonts w:ascii="仿宋_GB2312" w:hint="eastAsia"/>
          <w:szCs w:val="32"/>
        </w:rPr>
        <w:t>不超</w:t>
      </w:r>
      <w:r w:rsidRPr="004843AB">
        <w:rPr>
          <w:rFonts w:ascii="Times New Roman" w:hAnsi="Times New Roman" w:cs="Times New Roman" w:hint="eastAsia"/>
          <w:szCs w:val="32"/>
        </w:rPr>
        <w:t>预算</w:t>
      </w:r>
      <w:r>
        <w:rPr>
          <w:rFonts w:ascii="仿宋_GB2312" w:hint="eastAsia"/>
          <w:szCs w:val="32"/>
        </w:rPr>
        <w:t>。</w:t>
      </w:r>
      <w:r w:rsidR="00E43DB6">
        <w:rPr>
          <w:rFonts w:ascii="仿宋_GB2312" w:hAnsi="宋体" w:hint="eastAsia"/>
          <w:szCs w:val="32"/>
        </w:rPr>
        <w:t>经核实，</w:t>
      </w:r>
      <w:r>
        <w:rPr>
          <w:rFonts w:ascii="仿宋_GB2312" w:hAnsi="宋体" w:hint="eastAsia"/>
          <w:szCs w:val="32"/>
        </w:rPr>
        <w:t>我局共编印社会经济统计年鉴</w:t>
      </w:r>
      <w:r w:rsidRPr="004843AB">
        <w:rPr>
          <w:rFonts w:ascii="Times New Roman" w:hAnsi="Times New Roman" w:cs="Times New Roman" w:hint="eastAsia"/>
          <w:szCs w:val="32"/>
        </w:rPr>
        <w:t>350</w:t>
      </w:r>
      <w:r>
        <w:rPr>
          <w:rFonts w:ascii="仿宋_GB2312" w:hAnsi="宋体" w:hint="eastAsia"/>
          <w:szCs w:val="32"/>
        </w:rPr>
        <w:t>本，项目</w:t>
      </w:r>
      <w:r w:rsidR="00C66691">
        <w:rPr>
          <w:rFonts w:ascii="仿宋_GB2312" w:hAnsi="宋体" w:hint="eastAsia"/>
          <w:szCs w:val="32"/>
        </w:rPr>
        <w:t>经费全部用于</w:t>
      </w:r>
      <w:r>
        <w:rPr>
          <w:rFonts w:ascii="仿宋_GB2312" w:hAnsi="宋体" w:hint="eastAsia"/>
          <w:szCs w:val="32"/>
        </w:rPr>
        <w:t>统计年鉴的封面、内容版式的设计编排以及印刷费用，做到专款专用</w:t>
      </w:r>
      <w:r w:rsidR="00E43DB6">
        <w:rPr>
          <w:rFonts w:ascii="仿宋_GB2312" w:hAnsi="宋体" w:hint="eastAsia"/>
          <w:szCs w:val="32"/>
        </w:rPr>
        <w:t>。</w:t>
      </w:r>
    </w:p>
    <w:p w:rsidR="003C1377" w:rsidRPr="00D100CA" w:rsidRDefault="00D100CA" w:rsidP="00286158">
      <w:pPr>
        <w:spacing w:line="560" w:lineRule="exact"/>
        <w:ind w:firstLineChars="200" w:firstLine="599"/>
        <w:outlineLvl w:val="0"/>
        <w:rPr>
          <w:rFonts w:ascii="楷体_GB2312" w:eastAsia="楷体_GB2312"/>
          <w:szCs w:val="32"/>
        </w:rPr>
      </w:pPr>
      <w:r w:rsidRPr="00D100CA">
        <w:rPr>
          <w:rFonts w:ascii="楷体_GB2312" w:eastAsia="楷体_GB2312" w:hint="eastAsia"/>
          <w:szCs w:val="32"/>
        </w:rPr>
        <w:t>（二）项目实施情况分析</w:t>
      </w:r>
    </w:p>
    <w:p w:rsidR="003C1377" w:rsidRDefault="00E43DB6" w:rsidP="00286158">
      <w:pPr>
        <w:topLinePunct/>
        <w:spacing w:line="560" w:lineRule="exact"/>
        <w:ind w:firstLineChars="200" w:firstLine="599"/>
        <w:rPr>
          <w:rFonts w:ascii="仿宋_GB2312"/>
          <w:szCs w:val="32"/>
        </w:rPr>
      </w:pPr>
      <w:r w:rsidRPr="00FB492C">
        <w:rPr>
          <w:rFonts w:ascii="Times New Roman" w:hAnsi="Times New Roman" w:cs="Times New Roman"/>
          <w:szCs w:val="32"/>
        </w:rPr>
        <w:t>1</w:t>
      </w:r>
      <w:r>
        <w:rPr>
          <w:rFonts w:ascii="仿宋_GB2312"/>
          <w:szCs w:val="32"/>
        </w:rPr>
        <w:t>.</w:t>
      </w:r>
      <w:r w:rsidR="00D100CA">
        <w:rPr>
          <w:rFonts w:ascii="仿宋_GB2312" w:hint="eastAsia"/>
          <w:szCs w:val="32"/>
        </w:rPr>
        <w:t>项目组织情况分析</w:t>
      </w:r>
    </w:p>
    <w:p w:rsidR="003C1377" w:rsidRDefault="00D527D4" w:rsidP="00286158">
      <w:pPr>
        <w:topLinePunct/>
        <w:spacing w:line="560" w:lineRule="exact"/>
        <w:ind w:firstLineChars="200" w:firstLine="599"/>
        <w:rPr>
          <w:rFonts w:ascii="仿宋_GB2312"/>
          <w:szCs w:val="32"/>
        </w:rPr>
      </w:pPr>
      <w:r>
        <w:rPr>
          <w:rFonts w:ascii="仿宋_GB2312" w:hAnsi="宋体" w:hint="eastAsia"/>
          <w:szCs w:val="32"/>
        </w:rPr>
        <w:t>社会经济统计年鉴的编印由杨彦副局长牵头，统计</w:t>
      </w:r>
      <w:r w:rsidR="00A028C1">
        <w:rPr>
          <w:rFonts w:ascii="仿宋_GB2312" w:hAnsi="宋体" w:hint="eastAsia"/>
          <w:szCs w:val="32"/>
        </w:rPr>
        <w:t>科负责，其他各相关科室配合完成</w:t>
      </w:r>
      <w:r w:rsidR="004055D7">
        <w:rPr>
          <w:rFonts w:ascii="仿宋_GB2312" w:hAnsi="宋体" w:hint="eastAsia"/>
          <w:szCs w:val="32"/>
        </w:rPr>
        <w:t>，财务人员负责项目资金的落实。在年鉴编印期间，</w:t>
      </w:r>
      <w:r>
        <w:rPr>
          <w:rFonts w:ascii="仿宋_GB2312" w:hAnsi="宋体" w:hint="eastAsia"/>
          <w:szCs w:val="32"/>
        </w:rPr>
        <w:t>统计</w:t>
      </w:r>
      <w:r w:rsidR="004055D7">
        <w:rPr>
          <w:rFonts w:ascii="仿宋_GB2312" w:hAnsi="宋体" w:hint="eastAsia"/>
          <w:szCs w:val="32"/>
        </w:rPr>
        <w:t>科负责收集各专业年报数据及综合类数据，对收集整理的原始资料进行初步审核，发现问题后返回各专业进行二次审核，然后将底稿发送至编印厂家进行封面设计、内容排版，县域监测科对印刷版内容进行第三次审核，发现问题后及时与各专业及厂家对接，直至修改完毕，最后确定印刷版本，有效确保了统计年鉴的质量。</w:t>
      </w:r>
    </w:p>
    <w:p w:rsidR="003C1377" w:rsidRDefault="00E43DB6" w:rsidP="00F23B4C">
      <w:pPr>
        <w:spacing w:line="560" w:lineRule="exact"/>
        <w:ind w:firstLineChars="200" w:firstLine="599"/>
        <w:rPr>
          <w:rFonts w:ascii="仿宋_GB2312"/>
          <w:szCs w:val="32"/>
        </w:rPr>
      </w:pPr>
      <w:r w:rsidRPr="00FB492C">
        <w:rPr>
          <w:rFonts w:ascii="Times New Roman" w:hAnsi="Times New Roman" w:cs="Times New Roman" w:hint="eastAsia"/>
          <w:szCs w:val="32"/>
        </w:rPr>
        <w:t>2</w:t>
      </w:r>
      <w:r>
        <w:rPr>
          <w:rFonts w:ascii="仿宋_GB2312" w:hint="eastAsia"/>
          <w:szCs w:val="32"/>
        </w:rPr>
        <w:t>.</w:t>
      </w:r>
      <w:r w:rsidR="00D100CA">
        <w:rPr>
          <w:rFonts w:ascii="仿宋_GB2312" w:hint="eastAsia"/>
          <w:szCs w:val="32"/>
        </w:rPr>
        <w:t>项目管理情况分析</w:t>
      </w:r>
    </w:p>
    <w:p w:rsidR="004055D7" w:rsidRDefault="004055D7" w:rsidP="00286158">
      <w:pPr>
        <w:spacing w:line="560" w:lineRule="exact"/>
        <w:ind w:firstLineChars="200" w:firstLine="599"/>
        <w:rPr>
          <w:rFonts w:ascii="仿宋_GB2312"/>
          <w:szCs w:val="32"/>
        </w:rPr>
      </w:pPr>
      <w:r>
        <w:rPr>
          <w:rFonts w:ascii="仿宋_GB2312" w:hAnsi="宋体" w:hint="eastAsia"/>
          <w:szCs w:val="32"/>
        </w:rPr>
        <w:t>由于各专业的年报数据出炉较晚且时间差距较大，因此社会经济统计年鉴的编印周期较长，必须要最后一项内容确定后才能进行印刷，我局在社会经济统计年鉴的项目管理方面，实行先</w:t>
      </w:r>
      <w:r w:rsidR="00DA3ED5">
        <w:rPr>
          <w:rFonts w:ascii="仿宋_GB2312" w:hAnsi="宋体" w:hint="eastAsia"/>
          <w:szCs w:val="32"/>
        </w:rPr>
        <w:t>完</w:t>
      </w:r>
      <w:r w:rsidR="00DA3ED5">
        <w:rPr>
          <w:rFonts w:ascii="仿宋_GB2312" w:hAnsi="宋体" w:hint="eastAsia"/>
          <w:szCs w:val="32"/>
        </w:rPr>
        <w:lastRenderedPageBreak/>
        <w:t>成</w:t>
      </w:r>
      <w:r>
        <w:rPr>
          <w:rFonts w:ascii="仿宋_GB2312" w:hAnsi="宋体" w:hint="eastAsia"/>
          <w:szCs w:val="32"/>
        </w:rPr>
        <w:t>先审核，先确定框架后补齐数据的模式，先把市级已经审核下返的专业数据进行编辑排版，再把有变动数据框架确定下来，在逐次审核中暂时保留，</w:t>
      </w:r>
      <w:r w:rsidR="00DA3ED5">
        <w:rPr>
          <w:rFonts w:ascii="仿宋_GB2312" w:hAnsi="宋体" w:hint="eastAsia"/>
          <w:szCs w:val="32"/>
        </w:rPr>
        <w:t>待数据确定后直接印刷，</w:t>
      </w:r>
      <w:r>
        <w:rPr>
          <w:rFonts w:ascii="仿宋_GB2312" w:hAnsi="宋体" w:hint="eastAsia"/>
          <w:szCs w:val="32"/>
        </w:rPr>
        <w:t>有效提高了社会经济统计年鉴的编印时效</w:t>
      </w:r>
      <w:r w:rsidR="00DA3ED5">
        <w:rPr>
          <w:rFonts w:ascii="仿宋_GB2312" w:hAnsi="宋体" w:hint="eastAsia"/>
          <w:szCs w:val="32"/>
        </w:rPr>
        <w:t>。</w:t>
      </w:r>
    </w:p>
    <w:p w:rsidR="003C1377" w:rsidRPr="00D100CA" w:rsidRDefault="00D100CA" w:rsidP="00F23B4C">
      <w:pPr>
        <w:spacing w:line="560" w:lineRule="exact"/>
        <w:ind w:firstLineChars="200" w:firstLine="599"/>
        <w:rPr>
          <w:rFonts w:ascii="楷体_GB2312" w:eastAsia="楷体_GB2312"/>
          <w:szCs w:val="32"/>
        </w:rPr>
      </w:pPr>
      <w:r w:rsidRPr="00D100CA">
        <w:rPr>
          <w:rFonts w:ascii="楷体_GB2312" w:eastAsia="楷体_GB2312" w:hint="eastAsia"/>
          <w:szCs w:val="32"/>
        </w:rPr>
        <w:t>（三）项目绩效情况分析</w:t>
      </w:r>
    </w:p>
    <w:p w:rsidR="00DA3ED5" w:rsidRPr="00DA3ED5" w:rsidRDefault="00E43DB6" w:rsidP="00286158">
      <w:pPr>
        <w:spacing w:line="560" w:lineRule="exact"/>
        <w:ind w:firstLineChars="200" w:firstLine="599"/>
        <w:rPr>
          <w:rFonts w:ascii="仿宋_GB2312"/>
          <w:szCs w:val="32"/>
        </w:rPr>
      </w:pPr>
      <w:r w:rsidRPr="00FB492C">
        <w:rPr>
          <w:rFonts w:ascii="Times New Roman" w:hAnsi="Times New Roman" w:cs="Times New Roman"/>
          <w:szCs w:val="32"/>
        </w:rPr>
        <w:t>1</w:t>
      </w:r>
      <w:r>
        <w:rPr>
          <w:rFonts w:ascii="仿宋_GB2312"/>
          <w:szCs w:val="32"/>
        </w:rPr>
        <w:t>.</w:t>
      </w:r>
      <w:r>
        <w:rPr>
          <w:rFonts w:ascii="仿宋_GB2312" w:hint="eastAsia"/>
          <w:szCs w:val="32"/>
        </w:rPr>
        <w:t>项目经济性分析。</w:t>
      </w:r>
      <w:r w:rsidR="00DA3ED5" w:rsidRPr="004843AB">
        <w:rPr>
          <w:rFonts w:ascii="Times New Roman" w:hAnsi="Times New Roman" w:cs="Times New Roman" w:hint="eastAsia"/>
          <w:szCs w:val="32"/>
        </w:rPr>
        <w:t>201</w:t>
      </w:r>
      <w:r w:rsidR="004843AB">
        <w:rPr>
          <w:rFonts w:ascii="Times New Roman" w:hAnsi="Times New Roman" w:cs="Times New Roman" w:hint="eastAsia"/>
          <w:szCs w:val="32"/>
        </w:rPr>
        <w:t>9</w:t>
      </w:r>
      <w:r w:rsidR="00DA3ED5">
        <w:rPr>
          <w:rFonts w:ascii="仿宋_GB2312" w:hint="eastAsia"/>
          <w:szCs w:val="32"/>
        </w:rPr>
        <w:t>年，我局共</w:t>
      </w:r>
      <w:r w:rsidR="00DA3ED5">
        <w:rPr>
          <w:rFonts w:ascii="仿宋_GB2312" w:hAnsi="宋体" w:hint="eastAsia"/>
          <w:szCs w:val="32"/>
        </w:rPr>
        <w:t>编印《</w:t>
      </w:r>
      <w:r w:rsidR="00DA3ED5" w:rsidRPr="004843AB">
        <w:rPr>
          <w:rFonts w:ascii="Times New Roman" w:hAnsi="Times New Roman" w:cs="Times New Roman" w:hint="eastAsia"/>
          <w:szCs w:val="32"/>
        </w:rPr>
        <w:t>201</w:t>
      </w:r>
      <w:r w:rsidR="004843AB">
        <w:rPr>
          <w:rFonts w:ascii="Times New Roman" w:hAnsi="Times New Roman" w:cs="Times New Roman" w:hint="eastAsia"/>
          <w:szCs w:val="32"/>
        </w:rPr>
        <w:t>8</w:t>
      </w:r>
      <w:r w:rsidR="00DA3ED5">
        <w:rPr>
          <w:rFonts w:ascii="仿宋_GB2312" w:hAnsi="宋体" w:hint="eastAsia"/>
          <w:szCs w:val="32"/>
        </w:rPr>
        <w:t>年社会经济统计年鉴》</w:t>
      </w:r>
      <w:r w:rsidR="00DA3ED5" w:rsidRPr="004843AB">
        <w:rPr>
          <w:rFonts w:ascii="Times New Roman" w:hAnsi="Times New Roman" w:cs="Times New Roman" w:hint="eastAsia"/>
          <w:szCs w:val="32"/>
        </w:rPr>
        <w:t>350</w:t>
      </w:r>
      <w:r w:rsidR="00DA3ED5">
        <w:rPr>
          <w:rFonts w:ascii="仿宋_GB2312" w:hAnsi="宋体" w:hint="eastAsia"/>
          <w:szCs w:val="32"/>
        </w:rPr>
        <w:t>本，按照每本</w:t>
      </w:r>
      <w:r w:rsidR="00DA3ED5" w:rsidRPr="004843AB">
        <w:rPr>
          <w:rFonts w:ascii="Times New Roman" w:hAnsi="Times New Roman" w:cs="Times New Roman" w:hint="eastAsia"/>
          <w:szCs w:val="32"/>
        </w:rPr>
        <w:t>100</w:t>
      </w:r>
      <w:r w:rsidR="00DA3ED5">
        <w:rPr>
          <w:rFonts w:ascii="仿宋_GB2312" w:hAnsi="宋体" w:hint="eastAsia"/>
          <w:szCs w:val="32"/>
        </w:rPr>
        <w:t>元的标准，共计</w:t>
      </w:r>
      <w:r w:rsidR="00DA3ED5" w:rsidRPr="004843AB">
        <w:rPr>
          <w:rFonts w:ascii="Times New Roman" w:hAnsi="Times New Roman" w:cs="Times New Roman" w:hint="eastAsia"/>
          <w:szCs w:val="32"/>
        </w:rPr>
        <w:t>3</w:t>
      </w:r>
      <w:r w:rsidR="004843AB">
        <w:rPr>
          <w:rFonts w:ascii="Times New Roman" w:hAnsi="Times New Roman" w:cs="Times New Roman" w:hint="eastAsia"/>
          <w:szCs w:val="32"/>
        </w:rPr>
        <w:t>5000</w:t>
      </w:r>
      <w:r w:rsidR="00DA3ED5">
        <w:rPr>
          <w:rFonts w:ascii="仿宋_GB2312" w:hint="eastAsia"/>
          <w:szCs w:val="32"/>
        </w:rPr>
        <w:t>元。</w:t>
      </w:r>
      <w:r w:rsidR="00DA3ED5">
        <w:rPr>
          <w:rFonts w:ascii="仿宋_GB2312" w:hAnsi="宋体" w:hint="eastAsia"/>
          <w:szCs w:val="32"/>
        </w:rPr>
        <w:t>社会经济统计年鉴印刷，发放给区委、区政府，各街道、各职能部门，部门用于图书馆及档案馆收藏，剩余年鉴存放于局机关，用于统计工作日常查阅及零散资料发放。</w:t>
      </w:r>
    </w:p>
    <w:p w:rsidR="003C1377" w:rsidRDefault="00E43DB6" w:rsidP="00F23B4C">
      <w:pPr>
        <w:spacing w:line="560" w:lineRule="exact"/>
        <w:ind w:firstLineChars="200" w:firstLine="599"/>
        <w:rPr>
          <w:rFonts w:ascii="仿宋_GB2312"/>
          <w:szCs w:val="32"/>
        </w:rPr>
      </w:pPr>
      <w:r w:rsidRPr="00FB492C">
        <w:rPr>
          <w:rFonts w:ascii="Times New Roman" w:hAnsi="Times New Roman" w:cs="Times New Roman"/>
          <w:szCs w:val="32"/>
        </w:rPr>
        <w:t>2</w:t>
      </w:r>
      <w:r>
        <w:rPr>
          <w:rFonts w:ascii="仿宋_GB2312"/>
          <w:szCs w:val="32"/>
        </w:rPr>
        <w:t>.</w:t>
      </w:r>
      <w:r w:rsidR="00D100CA">
        <w:rPr>
          <w:rFonts w:ascii="仿宋_GB2312" w:hint="eastAsia"/>
          <w:szCs w:val="32"/>
        </w:rPr>
        <w:t>项目的效率性分析</w:t>
      </w:r>
    </w:p>
    <w:p w:rsidR="003C1377" w:rsidRDefault="00E43DB6" w:rsidP="00286158">
      <w:pPr>
        <w:spacing w:line="560" w:lineRule="exact"/>
        <w:ind w:firstLineChars="200" w:firstLine="599"/>
        <w:rPr>
          <w:rFonts w:ascii="仿宋_GB2312"/>
          <w:szCs w:val="32"/>
        </w:rPr>
      </w:pPr>
      <w:r>
        <w:rPr>
          <w:rFonts w:ascii="仿宋_GB2312" w:hint="eastAsia"/>
          <w:szCs w:val="32"/>
        </w:rPr>
        <w:t>项目资金使用严格按文件规定执行，做到专款专用，按时核拨发放。</w:t>
      </w:r>
      <w:r w:rsidR="00696A41">
        <w:rPr>
          <w:rFonts w:ascii="仿宋_GB2312" w:hAnsi="宋体" w:hint="eastAsia"/>
          <w:szCs w:val="32"/>
        </w:rPr>
        <w:t>社会经济统计年鉴印刷费用仅用于年鉴排版及印刷，资料印制后及时发放，发挥较好的参考性和实用性。</w:t>
      </w:r>
    </w:p>
    <w:p w:rsidR="00AF00D3" w:rsidRDefault="00E43DB6" w:rsidP="00F23B4C">
      <w:pPr>
        <w:spacing w:line="560" w:lineRule="exact"/>
        <w:ind w:firstLineChars="200" w:firstLine="599"/>
        <w:rPr>
          <w:rFonts w:ascii="仿宋_GB2312"/>
          <w:szCs w:val="32"/>
        </w:rPr>
      </w:pPr>
      <w:r w:rsidRPr="00FB492C">
        <w:rPr>
          <w:rFonts w:ascii="Times New Roman" w:hAnsi="Times New Roman" w:cs="Times New Roman"/>
          <w:szCs w:val="32"/>
        </w:rPr>
        <w:t>3</w:t>
      </w:r>
      <w:r>
        <w:rPr>
          <w:rFonts w:ascii="仿宋_GB2312"/>
          <w:szCs w:val="32"/>
        </w:rPr>
        <w:t>.</w:t>
      </w:r>
      <w:r w:rsidR="00D100CA">
        <w:rPr>
          <w:rFonts w:ascii="仿宋_GB2312" w:hint="eastAsia"/>
          <w:szCs w:val="32"/>
        </w:rPr>
        <w:t>项目的效益性分析</w:t>
      </w:r>
    </w:p>
    <w:p w:rsidR="003C1377" w:rsidRDefault="00975889" w:rsidP="00286158">
      <w:pPr>
        <w:spacing w:line="560" w:lineRule="exact"/>
        <w:ind w:firstLineChars="200" w:firstLine="599"/>
        <w:outlineLvl w:val="0"/>
        <w:rPr>
          <w:rFonts w:ascii="仿宋_GB2312"/>
          <w:szCs w:val="32"/>
        </w:rPr>
      </w:pPr>
      <w:r>
        <w:rPr>
          <w:rFonts w:ascii="仿宋_GB2312" w:hAnsi="宋体" w:hint="eastAsia"/>
          <w:szCs w:val="32"/>
        </w:rPr>
        <w:t>社会经济统计年鉴</w:t>
      </w:r>
      <w:r>
        <w:rPr>
          <w:rFonts w:ascii="仿宋_GB2312" w:hint="eastAsia"/>
          <w:bCs/>
          <w:szCs w:val="32"/>
        </w:rPr>
        <w:t>是一部能</w:t>
      </w:r>
      <w:r w:rsidRPr="00F70E47">
        <w:rPr>
          <w:rFonts w:ascii="仿宋_GB2312" w:hint="eastAsia"/>
          <w:bCs/>
          <w:szCs w:val="32"/>
        </w:rPr>
        <w:t>全面反映呈贡区</w:t>
      </w:r>
      <w:r>
        <w:rPr>
          <w:rFonts w:ascii="仿宋_GB2312" w:hint="eastAsia"/>
          <w:bCs/>
          <w:szCs w:val="32"/>
        </w:rPr>
        <w:t>年度</w:t>
      </w:r>
      <w:r w:rsidRPr="00F70E47">
        <w:rPr>
          <w:rFonts w:ascii="仿宋_GB2312" w:hint="eastAsia"/>
          <w:bCs/>
          <w:szCs w:val="32"/>
        </w:rPr>
        <w:t>国民经济和社会发展情况的资料性专册，也是一部了解和研究呈贡区经济和社会发展状况的工具书。</w:t>
      </w:r>
      <w:r>
        <w:rPr>
          <w:rFonts w:ascii="仿宋_GB2312" w:hint="eastAsia"/>
          <w:bCs/>
          <w:szCs w:val="32"/>
        </w:rPr>
        <w:t>资料印刷后，可用于区委、区政府，各街道、各职能部门及社会各界翻阅查找统计数据，能有效体现呈贡区社会经济发展</w:t>
      </w:r>
      <w:r w:rsidR="00D20496">
        <w:rPr>
          <w:rFonts w:ascii="仿宋_GB2312" w:hint="eastAsia"/>
          <w:bCs/>
          <w:szCs w:val="32"/>
        </w:rPr>
        <w:t>现状，为研究者提供准确的数据支撑，同时也作为一本历史参考资料具有较高收藏价值。</w:t>
      </w:r>
    </w:p>
    <w:p w:rsidR="003C1377" w:rsidRPr="00D100CA" w:rsidRDefault="00D100CA" w:rsidP="00286158">
      <w:pPr>
        <w:spacing w:line="560" w:lineRule="exact"/>
        <w:ind w:firstLineChars="200" w:firstLine="599"/>
        <w:rPr>
          <w:rFonts w:ascii="黑体" w:eastAsia="黑体" w:hAnsi="黑体"/>
          <w:szCs w:val="32"/>
        </w:rPr>
      </w:pPr>
      <w:r w:rsidRPr="00D100CA">
        <w:rPr>
          <w:rFonts w:ascii="黑体" w:eastAsia="黑体" w:hAnsi="黑体" w:hint="eastAsia"/>
          <w:szCs w:val="32"/>
        </w:rPr>
        <w:t>五、综合评价情况及评价结论</w:t>
      </w:r>
    </w:p>
    <w:p w:rsidR="003C1377" w:rsidRDefault="004F0C1B" w:rsidP="00286158">
      <w:pPr>
        <w:spacing w:line="560" w:lineRule="exact"/>
        <w:ind w:firstLineChars="200" w:firstLine="599"/>
        <w:rPr>
          <w:rFonts w:ascii="仿宋_GB2312"/>
          <w:szCs w:val="32"/>
        </w:rPr>
      </w:pPr>
      <w:r>
        <w:rPr>
          <w:rFonts w:ascii="仿宋_GB2312" w:hint="eastAsia"/>
          <w:szCs w:val="32"/>
        </w:rPr>
        <w:t>我局共</w:t>
      </w:r>
      <w:r>
        <w:rPr>
          <w:rFonts w:ascii="仿宋_GB2312" w:hAnsi="宋体" w:hint="eastAsia"/>
          <w:szCs w:val="32"/>
        </w:rPr>
        <w:t>编印《</w:t>
      </w:r>
      <w:r w:rsidRPr="004843AB">
        <w:rPr>
          <w:rFonts w:ascii="Times New Roman" w:hAnsi="Times New Roman" w:cs="Times New Roman" w:hint="eastAsia"/>
          <w:szCs w:val="32"/>
        </w:rPr>
        <w:t>201</w:t>
      </w:r>
      <w:r w:rsidR="004843AB">
        <w:rPr>
          <w:rFonts w:ascii="Times New Roman" w:hAnsi="Times New Roman" w:cs="Times New Roman" w:hint="eastAsia"/>
          <w:szCs w:val="32"/>
        </w:rPr>
        <w:t>8</w:t>
      </w:r>
      <w:r>
        <w:rPr>
          <w:rFonts w:ascii="仿宋_GB2312" w:hAnsi="宋体" w:hint="eastAsia"/>
          <w:szCs w:val="32"/>
        </w:rPr>
        <w:t>年社会经济统计年鉴》</w:t>
      </w:r>
      <w:r w:rsidRPr="004843AB">
        <w:rPr>
          <w:rFonts w:ascii="Times New Roman" w:hAnsi="Times New Roman" w:cs="Times New Roman" w:hint="eastAsia"/>
          <w:szCs w:val="32"/>
        </w:rPr>
        <w:t>350</w:t>
      </w:r>
      <w:r>
        <w:rPr>
          <w:rFonts w:ascii="仿宋_GB2312" w:hAnsi="宋体" w:hint="eastAsia"/>
          <w:szCs w:val="32"/>
        </w:rPr>
        <w:t>本，项目支出</w:t>
      </w:r>
      <w:r>
        <w:rPr>
          <w:rFonts w:ascii="仿宋_GB2312" w:hAnsi="宋体" w:hint="eastAsia"/>
          <w:szCs w:val="32"/>
        </w:rPr>
        <w:lastRenderedPageBreak/>
        <w:t>共计</w:t>
      </w:r>
      <w:r w:rsidRPr="004843AB">
        <w:rPr>
          <w:rFonts w:ascii="Times New Roman" w:hAnsi="Times New Roman" w:cs="Times New Roman" w:hint="eastAsia"/>
          <w:szCs w:val="32"/>
        </w:rPr>
        <w:t>3</w:t>
      </w:r>
      <w:r w:rsidR="004843AB">
        <w:rPr>
          <w:rFonts w:ascii="Times New Roman" w:hAnsi="Times New Roman" w:cs="Times New Roman" w:hint="eastAsia"/>
          <w:szCs w:val="32"/>
        </w:rPr>
        <w:t>5000</w:t>
      </w:r>
      <w:r>
        <w:rPr>
          <w:rFonts w:ascii="仿宋_GB2312" w:hint="eastAsia"/>
          <w:szCs w:val="32"/>
        </w:rPr>
        <w:t>元，项目编印前，严格按照财经纪律进行询价商谈，对排版内容进行精简，使成本控制在预算内。</w:t>
      </w:r>
      <w:r>
        <w:rPr>
          <w:rFonts w:ascii="仿宋_GB2312" w:hAnsi="宋体" w:hint="eastAsia"/>
          <w:szCs w:val="32"/>
        </w:rPr>
        <w:t>社会经济统计年鉴印刷后，及</w:t>
      </w:r>
      <w:r w:rsidR="00286158">
        <w:rPr>
          <w:rFonts w:ascii="仿宋_GB2312" w:hAnsi="宋体" w:hint="eastAsia"/>
          <w:szCs w:val="32"/>
        </w:rPr>
        <w:t>时</w:t>
      </w:r>
      <w:r>
        <w:rPr>
          <w:rFonts w:ascii="仿宋_GB2312" w:hAnsi="宋体" w:hint="eastAsia"/>
          <w:szCs w:val="32"/>
        </w:rPr>
        <w:t>发放给区委、区政府，各街道、各职能部门，部门用于图书馆及档案馆收藏，剩余年鉴存放于局机关，用于统计工作日常查阅及零散资料发放。社会经济统计年鉴的印刷是我局的常规统计产品，</w:t>
      </w:r>
      <w:r>
        <w:rPr>
          <w:rFonts w:ascii="仿宋_GB2312" w:hint="eastAsia"/>
          <w:szCs w:val="32"/>
        </w:rPr>
        <w:t>是一部</w:t>
      </w:r>
      <w:r w:rsidRPr="00F70E47">
        <w:rPr>
          <w:rFonts w:ascii="仿宋_GB2312" w:hint="eastAsia"/>
          <w:bCs/>
          <w:szCs w:val="32"/>
        </w:rPr>
        <w:t>了解和研究呈贡区经济和社会发展状况的工具书</w:t>
      </w:r>
      <w:r>
        <w:rPr>
          <w:rFonts w:ascii="仿宋_GB2312" w:hint="eastAsia"/>
          <w:bCs/>
          <w:szCs w:val="32"/>
        </w:rPr>
        <w:t>，具有较高是使用价值。在项目管理方面做到精细管理与成本控制，资金</w:t>
      </w:r>
      <w:r w:rsidR="00D100CA">
        <w:rPr>
          <w:rFonts w:ascii="仿宋_GB2312" w:hint="eastAsia"/>
          <w:szCs w:val="32"/>
        </w:rPr>
        <w:t>使用规范合理。自评等级优秀</w:t>
      </w:r>
      <w:r w:rsidR="00AF00D3">
        <w:rPr>
          <w:rFonts w:ascii="仿宋_GB2312" w:hint="eastAsia"/>
          <w:szCs w:val="32"/>
        </w:rPr>
        <w:t>。</w:t>
      </w:r>
    </w:p>
    <w:p w:rsidR="003C1377" w:rsidRPr="00AF00D3" w:rsidRDefault="00AF00D3" w:rsidP="00286158">
      <w:pPr>
        <w:spacing w:line="560" w:lineRule="exact"/>
        <w:ind w:firstLineChars="200" w:firstLine="599"/>
        <w:rPr>
          <w:rFonts w:ascii="黑体" w:eastAsia="黑体" w:hAnsi="黑体"/>
          <w:szCs w:val="32"/>
        </w:rPr>
      </w:pPr>
      <w:r w:rsidRPr="00AF00D3">
        <w:rPr>
          <w:rFonts w:ascii="黑体" w:eastAsia="黑体" w:hAnsi="黑体" w:hint="eastAsia"/>
          <w:szCs w:val="32"/>
        </w:rPr>
        <w:t>六、</w:t>
      </w:r>
      <w:r w:rsidR="00D100CA" w:rsidRPr="00AF00D3">
        <w:rPr>
          <w:rFonts w:ascii="黑体" w:eastAsia="黑体" w:hAnsi="黑体" w:hint="eastAsia"/>
          <w:szCs w:val="32"/>
        </w:rPr>
        <w:t>主要经验及做法、存在的问题和建议</w:t>
      </w:r>
    </w:p>
    <w:p w:rsidR="00E43DB6" w:rsidRPr="00AF00D3" w:rsidRDefault="00E43DB6" w:rsidP="00286158">
      <w:pPr>
        <w:spacing w:line="560" w:lineRule="exact"/>
        <w:ind w:firstLineChars="200" w:firstLine="599"/>
        <w:rPr>
          <w:rFonts w:ascii="仿宋_GB2312"/>
          <w:szCs w:val="32"/>
        </w:rPr>
      </w:pPr>
      <w:r w:rsidRPr="00AF00D3">
        <w:rPr>
          <w:rFonts w:ascii="仿宋_GB2312" w:hint="eastAsia"/>
          <w:szCs w:val="32"/>
        </w:rPr>
        <w:t>社会经济统计年鉴的经费主要用于排版及印刷，在印刷前必须严格</w:t>
      </w:r>
      <w:r>
        <w:rPr>
          <w:rFonts w:ascii="仿宋_GB2312" w:hint="eastAsia"/>
          <w:szCs w:val="32"/>
        </w:rPr>
        <w:t>按照财经纪律进行项目询价，在对比价格、信誉、</w:t>
      </w:r>
      <w:r w:rsidR="00686A70">
        <w:rPr>
          <w:rFonts w:ascii="仿宋_GB2312" w:hint="eastAsia"/>
          <w:szCs w:val="32"/>
        </w:rPr>
        <w:t>质量后再进行</w:t>
      </w:r>
      <w:r>
        <w:rPr>
          <w:rFonts w:ascii="仿宋_GB2312" w:hint="eastAsia"/>
          <w:szCs w:val="32"/>
        </w:rPr>
        <w:t>商谈，</w:t>
      </w:r>
      <w:r w:rsidR="00686A70">
        <w:rPr>
          <w:rFonts w:ascii="仿宋_GB2312" w:hint="eastAsia"/>
          <w:szCs w:val="32"/>
        </w:rPr>
        <w:t>确定相关印刷事宜，能有效提高项目的执行效率。建议</w:t>
      </w:r>
      <w:r w:rsidRPr="00AF00D3">
        <w:rPr>
          <w:rFonts w:ascii="仿宋_GB2312" w:hint="eastAsia"/>
          <w:szCs w:val="32"/>
        </w:rPr>
        <w:t>在编制预算时，及时与各专业人员进行业务对接，</w:t>
      </w:r>
      <w:r w:rsidR="00686A70" w:rsidRPr="00AF00D3">
        <w:rPr>
          <w:rFonts w:ascii="仿宋_GB2312" w:hint="eastAsia"/>
          <w:szCs w:val="32"/>
        </w:rPr>
        <w:t>掌握编印内容总体情况。要</w:t>
      </w:r>
      <w:r w:rsidRPr="00AF00D3">
        <w:rPr>
          <w:rFonts w:ascii="仿宋_GB2312" w:hint="eastAsia"/>
          <w:szCs w:val="32"/>
        </w:rPr>
        <w:t>积极与市级联系，争取专业指导，同时与数据提供部门对接，根据统计工作实际确定要变更的内容，及时掌握各指标的变化口径和原因，</w:t>
      </w:r>
      <w:r w:rsidR="00686A70" w:rsidRPr="00AF00D3">
        <w:rPr>
          <w:rFonts w:ascii="仿宋_GB2312" w:hint="eastAsia"/>
          <w:szCs w:val="32"/>
        </w:rPr>
        <w:t>确保统计年鉴具有历史衔接性，内容准确，加强年鉴资料的参考性和实用性。</w:t>
      </w:r>
    </w:p>
    <w:p w:rsidR="004843AB" w:rsidRPr="00AF00D3" w:rsidRDefault="004843AB" w:rsidP="00286158">
      <w:pPr>
        <w:spacing w:line="560" w:lineRule="exact"/>
        <w:ind w:firstLineChars="200" w:firstLine="599"/>
        <w:rPr>
          <w:rFonts w:ascii="仿宋_GB2312"/>
          <w:szCs w:val="32"/>
        </w:rPr>
      </w:pPr>
    </w:p>
    <w:p w:rsidR="004843AB" w:rsidRPr="00AF00D3" w:rsidRDefault="004843AB" w:rsidP="00286158">
      <w:pPr>
        <w:spacing w:line="560" w:lineRule="exact"/>
        <w:ind w:firstLineChars="200" w:firstLine="599"/>
        <w:rPr>
          <w:rFonts w:ascii="仿宋_GB2312"/>
          <w:szCs w:val="32"/>
        </w:rPr>
      </w:pPr>
    </w:p>
    <w:p w:rsidR="004843AB" w:rsidRDefault="004843AB" w:rsidP="00F23B4C">
      <w:pPr>
        <w:spacing w:line="560" w:lineRule="exact"/>
        <w:jc w:val="right"/>
        <w:rPr>
          <w:rFonts w:ascii="仿宋_GB2312"/>
          <w:bCs/>
          <w:szCs w:val="32"/>
        </w:rPr>
      </w:pPr>
      <w:r>
        <w:rPr>
          <w:rFonts w:ascii="仿宋_GB2312" w:hint="eastAsia"/>
          <w:bCs/>
          <w:szCs w:val="32"/>
        </w:rPr>
        <w:t>昆明市呈贡区统计局</w:t>
      </w:r>
    </w:p>
    <w:p w:rsidR="004843AB" w:rsidRPr="004843AB" w:rsidRDefault="004843AB" w:rsidP="00F23B4C">
      <w:pPr>
        <w:spacing w:line="560" w:lineRule="exact"/>
        <w:ind w:right="150"/>
        <w:jc w:val="right"/>
        <w:rPr>
          <w:rFonts w:ascii="Times New Roman" w:hAnsi="Times New Roman" w:cs="Times New Roman"/>
          <w:bCs/>
          <w:szCs w:val="32"/>
        </w:rPr>
      </w:pPr>
      <w:r w:rsidRPr="004843AB">
        <w:rPr>
          <w:rFonts w:ascii="Times New Roman" w:hAnsi="Times New Roman" w:cs="Times New Roman"/>
          <w:bCs/>
          <w:szCs w:val="32"/>
        </w:rPr>
        <w:t>2020</w:t>
      </w:r>
      <w:r w:rsidRPr="004843AB">
        <w:rPr>
          <w:rFonts w:ascii="Times New Roman" w:hAnsi="Times New Roman" w:cs="Times New Roman"/>
          <w:bCs/>
          <w:szCs w:val="32"/>
        </w:rPr>
        <w:t>年</w:t>
      </w:r>
      <w:r w:rsidRPr="004843AB">
        <w:rPr>
          <w:rFonts w:ascii="Times New Roman" w:hAnsi="Times New Roman" w:cs="Times New Roman"/>
          <w:bCs/>
          <w:szCs w:val="32"/>
        </w:rPr>
        <w:t>3</w:t>
      </w:r>
      <w:r w:rsidRPr="004843AB">
        <w:rPr>
          <w:rFonts w:ascii="Times New Roman" w:hAnsi="Times New Roman" w:cs="Times New Roman"/>
          <w:bCs/>
          <w:szCs w:val="32"/>
        </w:rPr>
        <w:t>月</w:t>
      </w:r>
      <w:r w:rsidR="007532F4">
        <w:rPr>
          <w:rFonts w:ascii="Times New Roman" w:hAnsi="Times New Roman" w:cs="Times New Roman" w:hint="eastAsia"/>
          <w:bCs/>
          <w:szCs w:val="32"/>
        </w:rPr>
        <w:t>28</w:t>
      </w:r>
      <w:r w:rsidRPr="004843AB">
        <w:rPr>
          <w:rFonts w:ascii="Times New Roman" w:hAnsi="Times New Roman" w:cs="Times New Roman"/>
          <w:bCs/>
          <w:szCs w:val="32"/>
        </w:rPr>
        <w:t>日</w:t>
      </w:r>
    </w:p>
    <w:sectPr w:rsidR="004843AB" w:rsidRPr="004843AB" w:rsidSect="003C1377">
      <w:footerReference w:type="even" r:id="rId8"/>
      <w:footerReference w:type="default" r:id="rId9"/>
      <w:pgSz w:w="11907" w:h="16840"/>
      <w:pgMar w:top="1757" w:right="1757" w:bottom="1757" w:left="1757" w:header="851" w:footer="1304" w:gutter="0"/>
      <w:cols w:space="720"/>
      <w:docGrid w:type="linesAndChars" w:linePitch="587" w:charSpace="-41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DC2" w:rsidRDefault="00377DC2" w:rsidP="003C1377">
      <w:r>
        <w:separator/>
      </w:r>
    </w:p>
  </w:endnote>
  <w:endnote w:type="continuationSeparator" w:id="1">
    <w:p w:rsidR="00377DC2" w:rsidRDefault="00377DC2" w:rsidP="003C13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B6" w:rsidRDefault="00E43DB6">
    <w:pPr>
      <w:pStyle w:val="a3"/>
      <w:framePr w:wrap="around" w:vAnchor="text" w:hAnchor="margin" w:xAlign="outside" w:y="1"/>
      <w:ind w:left="335"/>
      <w:rPr>
        <w:rStyle w:val="a4"/>
        <w:rFonts w:ascii="宋体" w:eastAsia="宋体" w:hAnsi="宋体"/>
        <w:sz w:val="28"/>
      </w:rPr>
    </w:pPr>
    <w:r>
      <w:rPr>
        <w:rStyle w:val="a4"/>
        <w:rFonts w:ascii="宋体" w:eastAsia="宋体" w:hAnsi="宋体"/>
        <w:sz w:val="28"/>
      </w:rPr>
      <w:t>—</w:t>
    </w:r>
    <w:r w:rsidR="00571BBF">
      <w:rPr>
        <w:rFonts w:ascii="宋体" w:eastAsia="宋体" w:hAnsi="宋体"/>
        <w:sz w:val="28"/>
      </w:rPr>
      <w:fldChar w:fldCharType="begin"/>
    </w:r>
    <w:r>
      <w:rPr>
        <w:rStyle w:val="a4"/>
        <w:rFonts w:ascii="宋体" w:eastAsia="宋体" w:hAnsi="宋体"/>
        <w:sz w:val="28"/>
      </w:rPr>
      <w:instrText xml:space="preserve">PAGE  </w:instrText>
    </w:r>
    <w:r w:rsidR="00571BBF">
      <w:rPr>
        <w:rFonts w:ascii="宋体" w:eastAsia="宋体" w:hAnsi="宋体"/>
        <w:sz w:val="28"/>
      </w:rPr>
      <w:fldChar w:fldCharType="separate"/>
    </w:r>
    <w:r>
      <w:rPr>
        <w:rStyle w:val="a4"/>
        <w:rFonts w:ascii="宋体" w:eastAsia="宋体" w:hAnsi="宋体"/>
        <w:sz w:val="28"/>
      </w:rPr>
      <w:t>12</w:t>
    </w:r>
    <w:r w:rsidR="00571BBF">
      <w:rPr>
        <w:rFonts w:ascii="宋体" w:eastAsia="宋体" w:hAnsi="宋体"/>
        <w:sz w:val="28"/>
      </w:rPr>
      <w:fldChar w:fldCharType="end"/>
    </w:r>
    <w:r>
      <w:rPr>
        <w:rStyle w:val="a4"/>
        <w:rFonts w:ascii="宋体" w:eastAsia="宋体" w:hAnsi="宋体"/>
        <w:sz w:val="28"/>
      </w:rPr>
      <w:t>—</w:t>
    </w:r>
  </w:p>
  <w:p w:rsidR="00E43DB6" w:rsidRDefault="00E43DB6">
    <w:pPr>
      <w:pStyle w:val="a3"/>
      <w:ind w:left="300" w:right="360" w:firstLine="360"/>
      <w:rPr>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B6" w:rsidRPr="002D7091" w:rsidRDefault="002D7091">
    <w:pPr>
      <w:pStyle w:val="a3"/>
      <w:framePr w:wrap="around" w:vAnchor="text" w:hAnchor="margin" w:xAlign="outside" w:y="1"/>
      <w:ind w:right="335"/>
      <w:rPr>
        <w:rStyle w:val="a4"/>
        <w:rFonts w:ascii="Times New Roman" w:eastAsia="宋体" w:hAnsi="Times New Roman"/>
        <w:sz w:val="28"/>
      </w:rPr>
    </w:pPr>
    <w:r w:rsidRPr="002D7091">
      <w:rPr>
        <w:rStyle w:val="a4"/>
        <w:rFonts w:ascii="Times New Roman" w:eastAsia="宋体" w:hAnsi="Times New Roman"/>
        <w:sz w:val="28"/>
      </w:rPr>
      <w:t>-</w:t>
    </w:r>
    <w:r w:rsidR="00571BBF" w:rsidRPr="002D7091">
      <w:rPr>
        <w:rFonts w:ascii="Times New Roman" w:eastAsia="宋体" w:hAnsi="Times New Roman"/>
        <w:sz w:val="28"/>
      </w:rPr>
      <w:fldChar w:fldCharType="begin"/>
    </w:r>
    <w:r w:rsidR="00E43DB6" w:rsidRPr="002D7091">
      <w:rPr>
        <w:rStyle w:val="a4"/>
        <w:rFonts w:ascii="Times New Roman" w:eastAsia="宋体" w:hAnsi="Times New Roman"/>
        <w:sz w:val="28"/>
      </w:rPr>
      <w:instrText xml:space="preserve">PAGE  </w:instrText>
    </w:r>
    <w:r w:rsidR="00571BBF" w:rsidRPr="002D7091">
      <w:rPr>
        <w:rFonts w:ascii="Times New Roman" w:eastAsia="宋体" w:hAnsi="Times New Roman"/>
        <w:sz w:val="28"/>
      </w:rPr>
      <w:fldChar w:fldCharType="separate"/>
    </w:r>
    <w:r w:rsidR="00D527D4">
      <w:rPr>
        <w:rStyle w:val="a4"/>
        <w:rFonts w:ascii="Times New Roman" w:eastAsia="宋体" w:hAnsi="Times New Roman"/>
        <w:noProof/>
        <w:sz w:val="28"/>
      </w:rPr>
      <w:t>5</w:t>
    </w:r>
    <w:r w:rsidR="00571BBF" w:rsidRPr="002D7091">
      <w:rPr>
        <w:rFonts w:ascii="Times New Roman" w:eastAsia="宋体" w:hAnsi="Times New Roman"/>
        <w:sz w:val="28"/>
      </w:rPr>
      <w:fldChar w:fldCharType="end"/>
    </w:r>
    <w:r w:rsidRPr="002D7091">
      <w:rPr>
        <w:rStyle w:val="a4"/>
        <w:rFonts w:ascii="Times New Roman" w:eastAsia="宋体" w:hAnsi="Times New Roman"/>
        <w:sz w:val="28"/>
      </w:rPr>
      <w:t>-</w:t>
    </w:r>
  </w:p>
  <w:p w:rsidR="00E43DB6" w:rsidRDefault="00E43DB6">
    <w:pPr>
      <w:pStyle w:val="a3"/>
      <w:ind w:right="360" w:firstLine="360"/>
      <w:jc w:val="right"/>
      <w:rPr>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DC2" w:rsidRDefault="00377DC2" w:rsidP="003C1377">
      <w:r>
        <w:separator/>
      </w:r>
    </w:p>
  </w:footnote>
  <w:footnote w:type="continuationSeparator" w:id="1">
    <w:p w:rsidR="00377DC2" w:rsidRDefault="00377DC2" w:rsidP="003C13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2D9DF"/>
    <w:multiLevelType w:val="singleLevel"/>
    <w:tmpl w:val="5AE2D9DF"/>
    <w:lvl w:ilvl="0">
      <w:start w:val="2"/>
      <w:numFmt w:val="chineseCounting"/>
      <w:suff w:val="nothing"/>
      <w:lvlText w:val="（%1）"/>
      <w:lvlJc w:val="left"/>
    </w:lvl>
  </w:abstractNum>
  <w:abstractNum w:abstractNumId="1">
    <w:nsid w:val="5AE2DBAD"/>
    <w:multiLevelType w:val="singleLevel"/>
    <w:tmpl w:val="5AE2DBAD"/>
    <w:lvl w:ilvl="0">
      <w:start w:val="2"/>
      <w:numFmt w:val="chineseCounting"/>
      <w:suff w:val="nothing"/>
      <w:lvlText w:val="%1、"/>
      <w:lvlJc w:val="left"/>
    </w:lvl>
  </w:abstractNum>
  <w:abstractNum w:abstractNumId="2">
    <w:nsid w:val="5AE2E333"/>
    <w:multiLevelType w:val="singleLevel"/>
    <w:tmpl w:val="5AE2E333"/>
    <w:lvl w:ilvl="0">
      <w:start w:val="6"/>
      <w:numFmt w:val="chineseCounting"/>
      <w:suff w:val="nothing"/>
      <w:lvlText w:val="%1、"/>
      <w:lvlJc w:val="left"/>
    </w:lvl>
  </w:abstractNum>
  <w:abstractNum w:abstractNumId="3">
    <w:nsid w:val="748604B9"/>
    <w:multiLevelType w:val="hybridMultilevel"/>
    <w:tmpl w:val="B6EAE3C4"/>
    <w:lvl w:ilvl="0" w:tplc="CFB25DF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90541C6"/>
    <w:rsid w:val="00040537"/>
    <w:rsid w:val="00071DBB"/>
    <w:rsid w:val="001B350E"/>
    <w:rsid w:val="00221732"/>
    <w:rsid w:val="002734AC"/>
    <w:rsid w:val="00286158"/>
    <w:rsid w:val="002D7091"/>
    <w:rsid w:val="00333581"/>
    <w:rsid w:val="00377DC2"/>
    <w:rsid w:val="003C1377"/>
    <w:rsid w:val="004055D7"/>
    <w:rsid w:val="004843AB"/>
    <w:rsid w:val="004F0C1B"/>
    <w:rsid w:val="00571BBF"/>
    <w:rsid w:val="00686A70"/>
    <w:rsid w:val="00696A41"/>
    <w:rsid w:val="006B3DD4"/>
    <w:rsid w:val="00725EAB"/>
    <w:rsid w:val="007532F4"/>
    <w:rsid w:val="007B00B0"/>
    <w:rsid w:val="00975889"/>
    <w:rsid w:val="00A028C1"/>
    <w:rsid w:val="00AF00D3"/>
    <w:rsid w:val="00C66691"/>
    <w:rsid w:val="00D100CA"/>
    <w:rsid w:val="00D20496"/>
    <w:rsid w:val="00D527D4"/>
    <w:rsid w:val="00DA3ED5"/>
    <w:rsid w:val="00DC0843"/>
    <w:rsid w:val="00E43DB6"/>
    <w:rsid w:val="00F23B4C"/>
    <w:rsid w:val="00F70E47"/>
    <w:rsid w:val="00FB492C"/>
    <w:rsid w:val="433D7FEC"/>
    <w:rsid w:val="790541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377"/>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C1377"/>
    <w:pPr>
      <w:tabs>
        <w:tab w:val="center" w:pos="4153"/>
        <w:tab w:val="right" w:pos="8306"/>
      </w:tabs>
      <w:snapToGrid w:val="0"/>
      <w:jc w:val="left"/>
    </w:pPr>
    <w:rPr>
      <w:rFonts w:cs="Times New Roman"/>
      <w:sz w:val="18"/>
      <w:szCs w:val="18"/>
    </w:rPr>
  </w:style>
  <w:style w:type="character" w:styleId="a4">
    <w:name w:val="page number"/>
    <w:basedOn w:val="a0"/>
    <w:rsid w:val="003C1377"/>
    <w:rPr>
      <w:rFonts w:cs="Times New Roman"/>
    </w:rPr>
  </w:style>
  <w:style w:type="paragraph" w:styleId="a5">
    <w:name w:val="header"/>
    <w:basedOn w:val="a"/>
    <w:link w:val="Char"/>
    <w:rsid w:val="00F70E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70E47"/>
    <w:rPr>
      <w:rFonts w:eastAsia="仿宋_GB2312"/>
      <w:kern w:val="2"/>
      <w:sz w:val="18"/>
      <w:szCs w:val="18"/>
    </w:rPr>
  </w:style>
  <w:style w:type="paragraph" w:styleId="a6">
    <w:name w:val="List Paragraph"/>
    <w:basedOn w:val="a"/>
    <w:uiPriority w:val="99"/>
    <w:unhideWhenUsed/>
    <w:rsid w:val="00AF00D3"/>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14</cp:revision>
  <dcterms:created xsi:type="dcterms:W3CDTF">2018-04-27T07:23:00Z</dcterms:created>
  <dcterms:modified xsi:type="dcterms:W3CDTF">2020-06-11T08:00:00Z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