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2E" w:rsidRPr="00024635" w:rsidRDefault="00A94B37">
      <w:pPr>
        <w:jc w:val="center"/>
        <w:rPr>
          <w:rFonts w:ascii="方正小标宋简体" w:eastAsia="方正小标宋简体"/>
          <w:spacing w:val="-20"/>
          <w:sz w:val="44"/>
          <w:szCs w:val="44"/>
        </w:rPr>
      </w:pPr>
      <w:r w:rsidRPr="00024635">
        <w:rPr>
          <w:rFonts w:ascii="方正小标宋简体" w:eastAsia="方正小标宋简体"/>
          <w:spacing w:val="-20"/>
          <w:sz w:val="44"/>
          <w:szCs w:val="44"/>
        </w:rPr>
        <w:t>2019</w:t>
      </w:r>
      <w:r w:rsidRPr="00024635">
        <w:rPr>
          <w:rFonts w:ascii="方正小标宋简体" w:eastAsia="方正小标宋简体" w:hint="eastAsia"/>
          <w:spacing w:val="-20"/>
          <w:sz w:val="44"/>
          <w:szCs w:val="44"/>
        </w:rPr>
        <w:t>年</w:t>
      </w:r>
      <w:r w:rsidR="00E72B5F" w:rsidRPr="00024635">
        <w:rPr>
          <w:rFonts w:ascii="方正小标宋简体" w:eastAsia="方正小标宋简体" w:hint="eastAsia"/>
          <w:spacing w:val="-20"/>
          <w:sz w:val="44"/>
          <w:szCs w:val="44"/>
        </w:rPr>
        <w:t>年报会议</w:t>
      </w:r>
      <w:r w:rsidR="00E72B5F" w:rsidRPr="00024635">
        <w:rPr>
          <w:rFonts w:ascii="方正小标宋简体" w:eastAsia="方正小标宋简体"/>
          <w:spacing w:val="-20"/>
          <w:sz w:val="44"/>
          <w:szCs w:val="44"/>
        </w:rPr>
        <w:t>项目支出绩效评价报告</w:t>
      </w:r>
    </w:p>
    <w:p w:rsidR="001C092E" w:rsidRPr="00B3222A" w:rsidRDefault="00E72B5F" w:rsidP="00B3222A">
      <w:pPr>
        <w:ind w:firstLineChars="200" w:firstLine="599"/>
        <w:rPr>
          <w:rFonts w:ascii="黑体" w:eastAsia="黑体" w:hAnsi="黑体"/>
          <w:szCs w:val="32"/>
        </w:rPr>
      </w:pPr>
      <w:r w:rsidRPr="00B3222A">
        <w:rPr>
          <w:rFonts w:ascii="黑体" w:eastAsia="黑体" w:hAnsi="黑体" w:hint="eastAsia"/>
          <w:szCs w:val="32"/>
        </w:rPr>
        <w:t>一、基本情况</w:t>
      </w:r>
    </w:p>
    <w:p w:rsidR="001C092E" w:rsidRPr="00B3222A" w:rsidRDefault="00B3222A" w:rsidP="00A94B37">
      <w:pPr>
        <w:ind w:firstLineChars="200" w:firstLine="599"/>
        <w:outlineLvl w:val="0"/>
        <w:rPr>
          <w:rFonts w:ascii="楷体_GB2312" w:eastAsia="楷体_GB2312"/>
          <w:szCs w:val="32"/>
        </w:rPr>
      </w:pPr>
      <w:r w:rsidRPr="00B3222A">
        <w:rPr>
          <w:rFonts w:ascii="楷体_GB2312" w:eastAsia="楷体_GB2312" w:hint="eastAsia"/>
          <w:szCs w:val="32"/>
        </w:rPr>
        <w:t>（一）项目概况</w:t>
      </w:r>
    </w:p>
    <w:p w:rsidR="001C092E" w:rsidRDefault="00E72B5F" w:rsidP="00A94B37">
      <w:pPr>
        <w:ind w:firstLineChars="200" w:firstLine="599"/>
        <w:outlineLvl w:val="0"/>
        <w:rPr>
          <w:szCs w:val="32"/>
        </w:rPr>
      </w:pPr>
      <w:r>
        <w:rPr>
          <w:rFonts w:hint="eastAsia"/>
          <w:szCs w:val="32"/>
        </w:rPr>
        <w:t>按照昆明市统计局各专业处室对统计工作总体安排部署，统计各专业每年期末要编制年报，分专业在不同时间上报，年报根据专业特点，分为数据采集、验收管理、数据审核及数据下返等不同阶段，由于社会经济发展较快，统计制度不断更新，年报质量要求逐年提高，内容也不断发生变化，年报数据收集量比月报、季报都大，项目类别较细，又是下一年编制统计报表的基础，年报在统计工作的处于重要地位。年报召开需要集中进行培训，部分专业内容交叉，需要分专业集中讲解，年报培训对象为各单位、企业的统计报表人员，培训讲师为各专业统计骨干。</w:t>
      </w:r>
    </w:p>
    <w:p w:rsidR="001C092E" w:rsidRPr="00B3222A" w:rsidRDefault="00B3222A" w:rsidP="00A94B37">
      <w:pPr>
        <w:numPr>
          <w:ilvl w:val="0"/>
          <w:numId w:val="1"/>
        </w:numPr>
        <w:ind w:firstLineChars="200" w:firstLine="599"/>
        <w:rPr>
          <w:rFonts w:ascii="楷体_GB2312" w:eastAsia="楷体_GB2312"/>
          <w:szCs w:val="32"/>
        </w:rPr>
      </w:pPr>
      <w:r w:rsidRPr="00B3222A">
        <w:rPr>
          <w:rFonts w:ascii="楷体_GB2312" w:eastAsia="楷体_GB2312" w:hint="eastAsia"/>
          <w:szCs w:val="32"/>
        </w:rPr>
        <w:t>项目绩效目标</w:t>
      </w:r>
    </w:p>
    <w:p w:rsidR="001C092E" w:rsidRDefault="00E72B5F" w:rsidP="00A94B37">
      <w:pPr>
        <w:ind w:firstLineChars="200" w:firstLine="599"/>
        <w:rPr>
          <w:rFonts w:ascii="仿宋_GB2312"/>
          <w:szCs w:val="32"/>
        </w:rPr>
      </w:pPr>
      <w:r>
        <w:rPr>
          <w:rFonts w:ascii="仿宋_GB2312" w:hint="eastAsia"/>
          <w:szCs w:val="32"/>
        </w:rPr>
        <w:t>各专业按照市级要求及时召开年报会议，传达市级统计工作会议精神，按照上级统计年报培训要求开展区级各专业年报会议培训，使参会单位的统计人员掌握年报的填写要求和规范，按时、按质、按量上报统计年报，以便区统计局进行数据汇总和分析，发布年度统计数据指标。</w:t>
      </w:r>
    </w:p>
    <w:p w:rsidR="001C092E" w:rsidRPr="00B3222A" w:rsidRDefault="00B3222A" w:rsidP="00B3222A">
      <w:pPr>
        <w:numPr>
          <w:ilvl w:val="0"/>
          <w:numId w:val="2"/>
        </w:numPr>
        <w:ind w:firstLineChars="200" w:firstLine="599"/>
        <w:rPr>
          <w:rFonts w:ascii="黑体" w:eastAsia="黑体" w:hAnsi="黑体"/>
          <w:szCs w:val="32"/>
        </w:rPr>
      </w:pPr>
      <w:r w:rsidRPr="00B3222A">
        <w:rPr>
          <w:rFonts w:ascii="黑体" w:eastAsia="黑体" w:hAnsi="黑体" w:hint="eastAsia"/>
          <w:szCs w:val="32"/>
        </w:rPr>
        <w:t>项目单位绩效报告情况</w:t>
      </w:r>
    </w:p>
    <w:p w:rsidR="001C092E" w:rsidRDefault="00E72B5F" w:rsidP="00A94B37">
      <w:pPr>
        <w:ind w:firstLineChars="200" w:firstLine="599"/>
        <w:rPr>
          <w:rFonts w:ascii="仿宋_GB2312" w:hAnsi="仿宋_GB2312" w:cs="仿宋_GB2312"/>
          <w:bCs/>
          <w:szCs w:val="32"/>
        </w:rPr>
      </w:pPr>
      <w:r>
        <w:rPr>
          <w:rFonts w:ascii="仿宋_GB2312" w:hAnsi="仿宋_GB2312" w:cs="仿宋_GB2312" w:hint="eastAsia"/>
          <w:bCs/>
          <w:szCs w:val="32"/>
        </w:rPr>
        <w:t>项目科室建立健全项目实施预算方案、财务管理制度和会计核算制度，此次绩效评价过程中未发现有截留、挤占或挪用项目</w:t>
      </w:r>
      <w:r>
        <w:rPr>
          <w:rFonts w:ascii="仿宋_GB2312" w:hAnsi="仿宋_GB2312" w:cs="仿宋_GB2312" w:hint="eastAsia"/>
          <w:bCs/>
          <w:szCs w:val="32"/>
        </w:rPr>
        <w:lastRenderedPageBreak/>
        <w:t>资金情况。</w:t>
      </w:r>
    </w:p>
    <w:p w:rsidR="001C092E" w:rsidRPr="00B3222A" w:rsidRDefault="00E72B5F" w:rsidP="00B3222A">
      <w:pPr>
        <w:ind w:firstLineChars="200" w:firstLine="599"/>
        <w:rPr>
          <w:rFonts w:ascii="黑体" w:eastAsia="黑体" w:hAnsi="黑体"/>
          <w:szCs w:val="32"/>
        </w:rPr>
      </w:pPr>
      <w:r w:rsidRPr="00B3222A">
        <w:rPr>
          <w:rFonts w:ascii="黑体" w:eastAsia="黑体" w:hAnsi="黑体" w:hint="eastAsia"/>
          <w:szCs w:val="32"/>
        </w:rPr>
        <w:t>三、绩效评价工作情况</w:t>
      </w:r>
    </w:p>
    <w:p w:rsidR="001C092E" w:rsidRPr="00B3222A" w:rsidRDefault="00B3222A" w:rsidP="00A94B37">
      <w:pPr>
        <w:ind w:firstLineChars="200" w:firstLine="599"/>
        <w:rPr>
          <w:rFonts w:ascii="楷体_GB2312" w:eastAsia="楷体_GB2312"/>
          <w:szCs w:val="32"/>
        </w:rPr>
      </w:pPr>
      <w:r w:rsidRPr="00B3222A">
        <w:rPr>
          <w:rFonts w:ascii="楷体_GB2312" w:eastAsia="楷体_GB2312" w:hint="eastAsia"/>
          <w:szCs w:val="32"/>
        </w:rPr>
        <w:t>（一）绩效评价目的</w:t>
      </w:r>
    </w:p>
    <w:p w:rsidR="001C092E" w:rsidRDefault="00E72B5F" w:rsidP="00A94B37">
      <w:pPr>
        <w:ind w:firstLineChars="200" w:firstLine="599"/>
        <w:rPr>
          <w:rFonts w:ascii="仿宋_GB2312"/>
          <w:szCs w:val="32"/>
        </w:rPr>
      </w:pPr>
      <w:r>
        <w:rPr>
          <w:rFonts w:ascii="仿宋_GB2312" w:hint="eastAsia"/>
          <w:szCs w:val="32"/>
        </w:rPr>
        <w:t>为进一步加强预算绩效管理，强化支出责任，提高财政资金使用效率。</w:t>
      </w:r>
    </w:p>
    <w:p w:rsidR="001C092E" w:rsidRPr="00B3222A" w:rsidRDefault="00E72B5F" w:rsidP="00A94B37">
      <w:pPr>
        <w:ind w:firstLineChars="200" w:firstLine="599"/>
        <w:rPr>
          <w:rFonts w:ascii="楷体_GB2312" w:eastAsia="楷体_GB2312"/>
          <w:szCs w:val="32"/>
        </w:rPr>
      </w:pPr>
      <w:r w:rsidRPr="00B3222A">
        <w:rPr>
          <w:rFonts w:ascii="楷体_GB2312" w:eastAsia="楷体_GB2312" w:hint="eastAsia"/>
          <w:szCs w:val="32"/>
        </w:rPr>
        <w:t>（二）绩效评价</w:t>
      </w:r>
      <w:r w:rsidR="00B3222A" w:rsidRPr="00B3222A">
        <w:rPr>
          <w:rFonts w:ascii="楷体_GB2312" w:eastAsia="楷体_GB2312" w:hint="eastAsia"/>
          <w:szCs w:val="32"/>
        </w:rPr>
        <w:t>原则、评价指标体系、评价方法</w:t>
      </w:r>
    </w:p>
    <w:p w:rsidR="001C092E" w:rsidRDefault="00E72B5F" w:rsidP="00A94B37">
      <w:pPr>
        <w:ind w:firstLineChars="200" w:firstLine="599"/>
        <w:rPr>
          <w:rFonts w:ascii="仿宋_GB2312"/>
          <w:szCs w:val="32"/>
        </w:rPr>
      </w:pPr>
      <w:r>
        <w:rPr>
          <w:rFonts w:ascii="仿宋_GB2312" w:hint="eastAsia"/>
          <w:szCs w:val="32"/>
        </w:rPr>
        <w:t>按《预算法》的规定，设立绩效评价体系及评价方法。</w:t>
      </w:r>
    </w:p>
    <w:p w:rsidR="001C092E" w:rsidRPr="00B3222A" w:rsidRDefault="00B3222A" w:rsidP="00A94B37">
      <w:pPr>
        <w:ind w:firstLineChars="200" w:firstLine="599"/>
        <w:rPr>
          <w:rFonts w:ascii="楷体_GB2312" w:eastAsia="楷体_GB2312"/>
          <w:szCs w:val="32"/>
        </w:rPr>
      </w:pPr>
      <w:r w:rsidRPr="00B3222A">
        <w:rPr>
          <w:rFonts w:ascii="楷体_GB2312" w:eastAsia="楷体_GB2312" w:hint="eastAsia"/>
          <w:szCs w:val="32"/>
        </w:rPr>
        <w:t>（三）绩效评价工作过程</w:t>
      </w:r>
    </w:p>
    <w:p w:rsidR="001C092E" w:rsidRDefault="00E72B5F" w:rsidP="00A94B37">
      <w:pPr>
        <w:ind w:firstLineChars="200" w:firstLine="599"/>
        <w:rPr>
          <w:rFonts w:ascii="仿宋_GB2312"/>
          <w:szCs w:val="32"/>
        </w:rPr>
      </w:pPr>
      <w:r>
        <w:rPr>
          <w:rFonts w:ascii="仿宋_GB2312" w:hint="eastAsia"/>
          <w:szCs w:val="32"/>
        </w:rPr>
        <w:t>区统计局按照相关要求成立绩效评价工作领导小组，负责绩效评价工作的组织领导和具体实施，做好绩效评价的前期准备工作，包括拟定绩效评价方案，选取合适的绩效评价方式，设计绩效评价指标体系等。区统计局绩效评价领导小组按上级相关部门要求，积极开展绩效评价工作，保证工作按时完成。</w:t>
      </w:r>
    </w:p>
    <w:p w:rsidR="001C092E" w:rsidRPr="00B3222A" w:rsidRDefault="00E72B5F" w:rsidP="00B3222A">
      <w:pPr>
        <w:ind w:firstLineChars="200" w:firstLine="599"/>
        <w:rPr>
          <w:rFonts w:ascii="黑体" w:eastAsia="黑体" w:hAnsi="黑体"/>
          <w:szCs w:val="32"/>
        </w:rPr>
      </w:pPr>
      <w:r w:rsidRPr="00B3222A">
        <w:rPr>
          <w:rFonts w:ascii="黑体" w:eastAsia="黑体" w:hAnsi="黑体" w:hint="eastAsia"/>
          <w:szCs w:val="32"/>
        </w:rPr>
        <w:t>四、绩效评价指标分析情况</w:t>
      </w:r>
    </w:p>
    <w:p w:rsidR="001C092E" w:rsidRPr="00B3222A" w:rsidRDefault="00B3222A" w:rsidP="00A94B37">
      <w:pPr>
        <w:ind w:firstLineChars="200" w:firstLine="599"/>
        <w:outlineLvl w:val="0"/>
        <w:rPr>
          <w:rFonts w:ascii="楷体_GB2312" w:eastAsia="楷体_GB2312"/>
          <w:szCs w:val="32"/>
        </w:rPr>
      </w:pPr>
      <w:r w:rsidRPr="00B3222A">
        <w:rPr>
          <w:rFonts w:ascii="楷体_GB2312" w:eastAsia="楷体_GB2312" w:hint="eastAsia"/>
          <w:szCs w:val="32"/>
        </w:rPr>
        <w:t>（一）项目资金情况分析</w:t>
      </w:r>
    </w:p>
    <w:p w:rsidR="001C092E" w:rsidRDefault="00E72B5F" w:rsidP="00A94B37">
      <w:pPr>
        <w:spacing w:line="600" w:lineRule="exact"/>
        <w:ind w:firstLineChars="200" w:firstLine="599"/>
        <w:rPr>
          <w:rFonts w:ascii="仿宋_GB2312"/>
          <w:szCs w:val="32"/>
        </w:rPr>
      </w:pPr>
      <w:r w:rsidRPr="00024635">
        <w:rPr>
          <w:rFonts w:ascii="Times New Roman" w:hAnsi="Times New Roman" w:cs="Times New Roman"/>
          <w:szCs w:val="32"/>
        </w:rPr>
        <w:t>1</w:t>
      </w:r>
      <w:r>
        <w:rPr>
          <w:rFonts w:ascii="仿宋_GB2312"/>
          <w:szCs w:val="32"/>
        </w:rPr>
        <w:t>.</w:t>
      </w:r>
      <w:r w:rsidR="00B3222A">
        <w:rPr>
          <w:rFonts w:ascii="仿宋_GB2312" w:hint="eastAsia"/>
          <w:szCs w:val="32"/>
        </w:rPr>
        <w:t>项目资金到位情况分析</w:t>
      </w:r>
    </w:p>
    <w:p w:rsidR="00A94B37" w:rsidRDefault="00E72B5F" w:rsidP="00A94B37">
      <w:pPr>
        <w:spacing w:line="600" w:lineRule="exact"/>
        <w:ind w:firstLineChars="200" w:firstLine="599"/>
        <w:rPr>
          <w:rFonts w:ascii="仿宋_GB2312"/>
          <w:szCs w:val="32"/>
        </w:rPr>
      </w:pPr>
      <w:r>
        <w:rPr>
          <w:rFonts w:ascii="仿宋_GB2312" w:hint="eastAsia"/>
          <w:szCs w:val="32"/>
        </w:rPr>
        <w:t>按照各专业年初统计，用于召开年报的场地费、资料费、参会人员餐费等费用预计为</w:t>
      </w:r>
      <w:r w:rsidR="00A94B37" w:rsidRPr="00024635">
        <w:rPr>
          <w:rFonts w:ascii="Times New Roman" w:hAnsi="Times New Roman" w:cs="Times New Roman"/>
          <w:szCs w:val="32"/>
        </w:rPr>
        <w:t>51000</w:t>
      </w:r>
      <w:r w:rsidR="00A94B37">
        <w:rPr>
          <w:rFonts w:ascii="仿宋_GB2312" w:hint="eastAsia"/>
          <w:szCs w:val="32"/>
        </w:rPr>
        <w:t>元</w:t>
      </w:r>
      <w:r>
        <w:rPr>
          <w:rFonts w:ascii="仿宋_GB2312" w:hint="eastAsia"/>
          <w:szCs w:val="32"/>
        </w:rPr>
        <w:t>，区财政下拨预算</w:t>
      </w:r>
      <w:r w:rsidR="00A94B37" w:rsidRPr="00024635">
        <w:rPr>
          <w:rFonts w:ascii="Times New Roman" w:hAnsi="Times New Roman" w:cs="Times New Roman"/>
          <w:szCs w:val="32"/>
        </w:rPr>
        <w:t>51000</w:t>
      </w:r>
      <w:r w:rsidR="00A94B37">
        <w:rPr>
          <w:rFonts w:ascii="仿宋_GB2312" w:hint="eastAsia"/>
          <w:szCs w:val="32"/>
        </w:rPr>
        <w:t>元</w:t>
      </w:r>
      <w:r>
        <w:rPr>
          <w:rFonts w:ascii="仿宋_GB2312" w:hint="eastAsia"/>
          <w:szCs w:val="32"/>
        </w:rPr>
        <w:t>。</w:t>
      </w:r>
      <w:r w:rsidR="00A94B37">
        <w:rPr>
          <w:rFonts w:ascii="仿宋_GB2312" w:hint="eastAsia"/>
          <w:szCs w:val="32"/>
        </w:rPr>
        <w:t>按照最新要求，限额以下住宿、餐饮、批发、零售企业不再参加年报会议，因而预算调整后实际执行数为</w:t>
      </w:r>
      <w:r w:rsidR="00A94B37" w:rsidRPr="00024635">
        <w:rPr>
          <w:rFonts w:ascii="Times New Roman" w:hAnsi="Times New Roman" w:cs="Times New Roman"/>
          <w:szCs w:val="32"/>
        </w:rPr>
        <w:t>40000</w:t>
      </w:r>
      <w:r w:rsidR="00A94B37">
        <w:rPr>
          <w:rFonts w:ascii="仿宋_GB2312" w:hint="eastAsia"/>
          <w:szCs w:val="32"/>
        </w:rPr>
        <w:t>元。</w:t>
      </w:r>
    </w:p>
    <w:p w:rsidR="001C092E" w:rsidRDefault="00E72B5F" w:rsidP="00A94B37">
      <w:pPr>
        <w:spacing w:line="600" w:lineRule="exact"/>
        <w:ind w:firstLineChars="200" w:firstLine="599"/>
        <w:rPr>
          <w:rFonts w:ascii="仿宋_GB2312"/>
          <w:szCs w:val="32"/>
        </w:rPr>
      </w:pPr>
      <w:r w:rsidRPr="00024635">
        <w:rPr>
          <w:rFonts w:ascii="Times New Roman" w:hAnsi="Times New Roman" w:cs="Times New Roman"/>
          <w:szCs w:val="32"/>
        </w:rPr>
        <w:t>2</w:t>
      </w:r>
      <w:r>
        <w:rPr>
          <w:rFonts w:ascii="仿宋_GB2312" w:hint="eastAsia"/>
          <w:szCs w:val="32"/>
        </w:rPr>
        <w:t>.</w:t>
      </w:r>
      <w:r w:rsidR="00B3222A">
        <w:rPr>
          <w:rFonts w:ascii="仿宋_GB2312" w:hint="eastAsia"/>
          <w:szCs w:val="32"/>
        </w:rPr>
        <w:t>项目资金使用情况分析</w:t>
      </w:r>
    </w:p>
    <w:p w:rsidR="001C092E" w:rsidRDefault="00A94B37" w:rsidP="00A94B37">
      <w:pPr>
        <w:spacing w:line="600" w:lineRule="exact"/>
        <w:ind w:firstLineChars="200" w:firstLine="599"/>
        <w:rPr>
          <w:rFonts w:ascii="仿宋_GB2312"/>
          <w:szCs w:val="32"/>
        </w:rPr>
      </w:pPr>
      <w:r w:rsidRPr="00024635">
        <w:rPr>
          <w:rFonts w:ascii="Times New Roman" w:hAnsi="Times New Roman" w:cs="Times New Roman"/>
          <w:szCs w:val="32"/>
        </w:rPr>
        <w:t>2019</w:t>
      </w:r>
      <w:r w:rsidR="00E72B5F">
        <w:rPr>
          <w:rFonts w:ascii="仿宋_GB2312" w:hint="eastAsia"/>
          <w:szCs w:val="32"/>
        </w:rPr>
        <w:t>年工业、商贸业、建筑业、房地产、劳动工资等专业召</w:t>
      </w:r>
      <w:r w:rsidR="00E72B5F">
        <w:rPr>
          <w:rFonts w:ascii="仿宋_GB2312" w:hint="eastAsia"/>
          <w:szCs w:val="32"/>
        </w:rPr>
        <w:lastRenderedPageBreak/>
        <w:t>开统计年报培训会议，场地费、资料费、参会人员餐费等共计支出</w:t>
      </w:r>
      <w:r w:rsidRPr="00024635">
        <w:rPr>
          <w:rFonts w:ascii="Times New Roman" w:hAnsi="Times New Roman" w:cs="Times New Roman"/>
          <w:szCs w:val="32"/>
        </w:rPr>
        <w:t>39200</w:t>
      </w:r>
      <w:r w:rsidR="00E72B5F">
        <w:rPr>
          <w:rFonts w:ascii="仿宋_GB2312" w:hint="eastAsia"/>
          <w:szCs w:val="32"/>
        </w:rPr>
        <w:t>元</w:t>
      </w:r>
      <w:r>
        <w:rPr>
          <w:rFonts w:ascii="仿宋_GB2312" w:hint="eastAsia"/>
          <w:szCs w:val="32"/>
        </w:rPr>
        <w:t>，资金使用率达</w:t>
      </w:r>
      <w:r w:rsidRPr="00024635">
        <w:rPr>
          <w:rFonts w:ascii="Times New Roman" w:hAnsi="Times New Roman" w:cs="Times New Roman"/>
          <w:szCs w:val="32"/>
        </w:rPr>
        <w:t>98</w:t>
      </w:r>
      <w:r w:rsidRPr="00793358">
        <w:rPr>
          <w:rFonts w:ascii="Times New Roman" w:hAnsi="Times New Roman" w:cs="Times New Roman"/>
          <w:szCs w:val="32"/>
        </w:rPr>
        <w:t>%</w:t>
      </w:r>
      <w:r>
        <w:rPr>
          <w:rFonts w:ascii="仿宋_GB2312" w:hint="eastAsia"/>
          <w:szCs w:val="32"/>
        </w:rPr>
        <w:t>，剩余部分年底退回财政</w:t>
      </w:r>
      <w:r w:rsidR="00E72B5F">
        <w:rPr>
          <w:rFonts w:ascii="仿宋_GB2312" w:hint="eastAsia"/>
          <w:szCs w:val="32"/>
        </w:rPr>
        <w:t>。</w:t>
      </w:r>
    </w:p>
    <w:p w:rsidR="001C092E" w:rsidRDefault="00E72B5F" w:rsidP="00A94B37">
      <w:pPr>
        <w:ind w:firstLineChars="200" w:firstLine="599"/>
        <w:outlineLvl w:val="0"/>
        <w:rPr>
          <w:rFonts w:ascii="仿宋_GB2312"/>
          <w:szCs w:val="32"/>
        </w:rPr>
      </w:pPr>
      <w:r w:rsidRPr="00024635">
        <w:rPr>
          <w:rFonts w:ascii="Times New Roman" w:hAnsi="Times New Roman" w:cs="Times New Roman"/>
          <w:szCs w:val="32"/>
        </w:rPr>
        <w:t>3</w:t>
      </w:r>
      <w:r>
        <w:rPr>
          <w:rFonts w:ascii="仿宋_GB2312" w:hint="eastAsia"/>
          <w:szCs w:val="32"/>
        </w:rPr>
        <w:t>.</w:t>
      </w:r>
      <w:r w:rsidR="00B3222A">
        <w:rPr>
          <w:rFonts w:ascii="仿宋_GB2312" w:hint="eastAsia"/>
          <w:szCs w:val="32"/>
        </w:rPr>
        <w:t>项目资金管理情况分析</w:t>
      </w:r>
    </w:p>
    <w:p w:rsidR="001C092E" w:rsidRDefault="00E72B5F" w:rsidP="00A94B37">
      <w:pPr>
        <w:ind w:firstLineChars="200" w:firstLine="599"/>
        <w:outlineLvl w:val="0"/>
        <w:rPr>
          <w:rFonts w:ascii="仿宋_GB2312"/>
          <w:szCs w:val="32"/>
        </w:rPr>
      </w:pPr>
      <w:r>
        <w:rPr>
          <w:rFonts w:ascii="仿宋_GB2312" w:hint="eastAsia"/>
          <w:szCs w:val="32"/>
        </w:rPr>
        <w:t>按照上级统计部门对于年报会议的要求，我局年工业、商贸业、建筑业、房地产、劳动工资等专业召开统计年报培训会议，在年初提前做好预算，年报会议布置后，提前联系培训地点，对会务费进行商谈，确定具体的培训时间，在培训资料的印制方面整合资源，选购质优价廉的品牌和种类，精简会议资料，科学安排培训时间，做好会议用餐的选配，合理节省会议开支，年报会议经费做到专款专用，资金管理科学，年初预算</w:t>
      </w:r>
      <w:r w:rsidR="00A94B37" w:rsidRPr="00024635">
        <w:rPr>
          <w:rFonts w:ascii="Times New Roman" w:hAnsi="Times New Roman" w:cs="Times New Roman"/>
          <w:szCs w:val="32"/>
        </w:rPr>
        <w:t>51000</w:t>
      </w:r>
      <w:r>
        <w:rPr>
          <w:rFonts w:ascii="仿宋_GB2312" w:hint="eastAsia"/>
          <w:szCs w:val="32"/>
        </w:rPr>
        <w:t>元，</w:t>
      </w:r>
      <w:r w:rsidR="00A94B37">
        <w:rPr>
          <w:rFonts w:ascii="仿宋_GB2312" w:hint="eastAsia"/>
          <w:szCs w:val="32"/>
        </w:rPr>
        <w:t>调减预算</w:t>
      </w:r>
      <w:r w:rsidR="00A94B37" w:rsidRPr="00024635">
        <w:rPr>
          <w:rFonts w:ascii="Times New Roman" w:hAnsi="Times New Roman" w:cs="Times New Roman"/>
          <w:szCs w:val="32"/>
        </w:rPr>
        <w:t>40000</w:t>
      </w:r>
      <w:r w:rsidR="00A94B37">
        <w:rPr>
          <w:rFonts w:ascii="仿宋_GB2312" w:hint="eastAsia"/>
          <w:szCs w:val="32"/>
        </w:rPr>
        <w:t>元，</w:t>
      </w:r>
      <w:r>
        <w:rPr>
          <w:rFonts w:ascii="仿宋_GB2312" w:hint="eastAsia"/>
          <w:szCs w:val="32"/>
        </w:rPr>
        <w:t>实际支出</w:t>
      </w:r>
      <w:r w:rsidR="00A94B37" w:rsidRPr="00024635">
        <w:rPr>
          <w:rFonts w:ascii="Times New Roman" w:hAnsi="Times New Roman" w:cs="Times New Roman"/>
          <w:szCs w:val="32"/>
        </w:rPr>
        <w:t>39200</w:t>
      </w:r>
      <w:r>
        <w:rPr>
          <w:rFonts w:ascii="仿宋_GB2312" w:hint="eastAsia"/>
          <w:szCs w:val="32"/>
        </w:rPr>
        <w:t>元，</w:t>
      </w:r>
      <w:r w:rsidR="00024635">
        <w:rPr>
          <w:rFonts w:ascii="仿宋_GB2312" w:hint="eastAsia"/>
          <w:szCs w:val="32"/>
        </w:rPr>
        <w:t>剩余部分由</w:t>
      </w:r>
      <w:r>
        <w:rPr>
          <w:rFonts w:ascii="仿宋_GB2312" w:hint="eastAsia"/>
          <w:szCs w:val="32"/>
        </w:rPr>
        <w:t>区财政</w:t>
      </w:r>
      <w:r w:rsidR="00024635">
        <w:rPr>
          <w:rFonts w:ascii="仿宋_GB2312" w:hint="eastAsia"/>
          <w:szCs w:val="32"/>
        </w:rPr>
        <w:t>收回</w:t>
      </w:r>
      <w:r>
        <w:rPr>
          <w:rFonts w:ascii="仿宋_GB2312" w:hint="eastAsia"/>
          <w:szCs w:val="32"/>
        </w:rPr>
        <w:t>。</w:t>
      </w:r>
    </w:p>
    <w:p w:rsidR="001C092E" w:rsidRPr="00B3222A" w:rsidRDefault="00B3222A" w:rsidP="00A94B37">
      <w:pPr>
        <w:ind w:firstLineChars="200" w:firstLine="599"/>
        <w:outlineLvl w:val="0"/>
        <w:rPr>
          <w:rFonts w:ascii="楷体_GB2312" w:eastAsia="楷体_GB2312"/>
          <w:szCs w:val="32"/>
        </w:rPr>
      </w:pPr>
      <w:r w:rsidRPr="00B3222A">
        <w:rPr>
          <w:rFonts w:ascii="楷体_GB2312" w:eastAsia="楷体_GB2312" w:hint="eastAsia"/>
          <w:szCs w:val="32"/>
        </w:rPr>
        <w:t>（二）项目实施情况分析</w:t>
      </w:r>
    </w:p>
    <w:p w:rsidR="001C092E" w:rsidRDefault="00E72B5F" w:rsidP="00A94B37">
      <w:pPr>
        <w:topLinePunct/>
        <w:ind w:firstLineChars="200" w:firstLine="599"/>
        <w:rPr>
          <w:rFonts w:ascii="仿宋_GB2312"/>
          <w:szCs w:val="32"/>
        </w:rPr>
      </w:pPr>
      <w:r w:rsidRPr="00024635">
        <w:rPr>
          <w:rFonts w:ascii="Times New Roman" w:hAnsi="Times New Roman" w:cs="Times New Roman"/>
          <w:szCs w:val="32"/>
        </w:rPr>
        <w:t>1</w:t>
      </w:r>
      <w:r>
        <w:rPr>
          <w:rFonts w:ascii="仿宋_GB2312"/>
          <w:szCs w:val="32"/>
        </w:rPr>
        <w:t>.</w:t>
      </w:r>
      <w:r w:rsidR="00B3222A">
        <w:rPr>
          <w:rFonts w:ascii="仿宋_GB2312" w:hint="eastAsia"/>
          <w:szCs w:val="32"/>
        </w:rPr>
        <w:t>项目组织情况分析</w:t>
      </w:r>
    </w:p>
    <w:p w:rsidR="001C092E" w:rsidRDefault="00E72B5F" w:rsidP="00A94B37">
      <w:pPr>
        <w:topLinePunct/>
        <w:ind w:firstLineChars="200" w:firstLine="599"/>
        <w:rPr>
          <w:rFonts w:ascii="仿宋_GB2312"/>
          <w:szCs w:val="32"/>
        </w:rPr>
      </w:pPr>
      <w:r>
        <w:rPr>
          <w:rFonts w:ascii="仿宋_GB2312" w:hint="eastAsia"/>
          <w:szCs w:val="32"/>
        </w:rPr>
        <w:t>我局主要职能职责为做好呈贡区实际管辖范围的</w:t>
      </w:r>
      <w:r>
        <w:rPr>
          <w:rFonts w:ascii="仿宋_GB2312" w:cs="Tahoma" w:hint="eastAsia"/>
          <w:szCs w:val="32"/>
        </w:rPr>
        <w:t>工业、建筑业、批发和零售业、住宿和餐饮业、房地产业、服务业等专业统计工作，各专业除常规统计月报、季报，期末还要收集年度资料，编制内容较为详细的年报。我局统计工作要求各专业做到年初有计划，年末有总结，各专业在年初上报项目预算，为年报的顺利召开提供经费保障。年报培训前及时召开专门会议研究年报相关事项，对培训、后勤等做全面部署，确保年报会议顺利召开。</w:t>
      </w:r>
    </w:p>
    <w:p w:rsidR="001C092E" w:rsidRDefault="00E72B5F" w:rsidP="00A94B37">
      <w:pPr>
        <w:ind w:firstLineChars="200" w:firstLine="599"/>
        <w:outlineLvl w:val="0"/>
        <w:rPr>
          <w:rFonts w:ascii="仿宋_GB2312" w:cs="Tahoma"/>
          <w:szCs w:val="32"/>
        </w:rPr>
      </w:pPr>
      <w:r w:rsidRPr="00024635">
        <w:rPr>
          <w:rFonts w:ascii="Times New Roman" w:hAnsi="Times New Roman" w:cs="Times New Roman"/>
          <w:szCs w:val="32"/>
        </w:rPr>
        <w:t>2</w:t>
      </w:r>
      <w:r>
        <w:rPr>
          <w:rFonts w:ascii="仿宋_GB2312" w:cs="Tahoma" w:hint="eastAsia"/>
          <w:szCs w:val="32"/>
        </w:rPr>
        <w:t>.</w:t>
      </w:r>
      <w:r w:rsidR="00B3222A">
        <w:rPr>
          <w:rFonts w:ascii="仿宋_GB2312" w:cs="Tahoma" w:hint="eastAsia"/>
          <w:szCs w:val="32"/>
        </w:rPr>
        <w:t>项目管理情况分析</w:t>
      </w:r>
    </w:p>
    <w:p w:rsidR="001C092E" w:rsidRDefault="00E72B5F" w:rsidP="00A94B37">
      <w:pPr>
        <w:ind w:firstLineChars="200" w:firstLine="599"/>
        <w:outlineLvl w:val="0"/>
        <w:rPr>
          <w:rFonts w:ascii="仿宋_GB2312" w:cs="Tahoma"/>
          <w:szCs w:val="32"/>
        </w:rPr>
      </w:pPr>
      <w:r>
        <w:rPr>
          <w:rFonts w:ascii="仿宋_GB2312" w:cs="Tahoma" w:hint="eastAsia"/>
          <w:szCs w:val="32"/>
        </w:rPr>
        <w:t>我局各专业实行分管领导统一指挥，各专业全面开展工作的</w:t>
      </w:r>
      <w:r>
        <w:rPr>
          <w:rFonts w:ascii="仿宋_GB2312" w:cs="Tahoma" w:hint="eastAsia"/>
          <w:szCs w:val="32"/>
        </w:rPr>
        <w:lastRenderedPageBreak/>
        <w:t>模式，年初制定预算时，以专业意见为主，在进行各类培训和召开会议时，由专业人员牵头，其他相关人员配合，全面开展统计工作。在年报培训管理方面，各专业制定方案，分管领导碰头进行分析研究，资源整合，协调分配，主要领导最后决策，过程严谨，分工科学合理，最终制定年报培训会议方案，严格执行。在年报召开前期，对培训场地进行询价商谈和比对，确定培训时间和地点后，各专业协同配合，统筹讲解顺序，做到科学合理，确保年报召开有序进行，不断提高培训质量。</w:t>
      </w:r>
    </w:p>
    <w:p w:rsidR="001C092E" w:rsidRPr="00B3222A" w:rsidRDefault="00B3222A" w:rsidP="00A94B37">
      <w:pPr>
        <w:ind w:firstLineChars="200" w:firstLine="599"/>
        <w:outlineLvl w:val="0"/>
        <w:rPr>
          <w:rFonts w:ascii="楷体_GB2312" w:eastAsia="楷体_GB2312"/>
          <w:szCs w:val="32"/>
        </w:rPr>
      </w:pPr>
      <w:r w:rsidRPr="00B3222A">
        <w:rPr>
          <w:rFonts w:ascii="楷体_GB2312" w:eastAsia="楷体_GB2312" w:hint="eastAsia"/>
          <w:szCs w:val="32"/>
        </w:rPr>
        <w:t>（三）项目绩效情况分析</w:t>
      </w:r>
    </w:p>
    <w:p w:rsidR="00024635" w:rsidRDefault="00E72B5F" w:rsidP="00A94B37">
      <w:pPr>
        <w:spacing w:line="600" w:lineRule="exact"/>
        <w:ind w:firstLineChars="200" w:firstLine="599"/>
        <w:rPr>
          <w:rFonts w:ascii="仿宋_GB2312"/>
          <w:szCs w:val="32"/>
        </w:rPr>
      </w:pPr>
      <w:r w:rsidRPr="00024635">
        <w:rPr>
          <w:rFonts w:ascii="Times New Roman" w:hAnsi="Times New Roman" w:cs="Times New Roman"/>
          <w:szCs w:val="32"/>
        </w:rPr>
        <w:t>1</w:t>
      </w:r>
      <w:r>
        <w:rPr>
          <w:rFonts w:ascii="仿宋_GB2312"/>
          <w:szCs w:val="32"/>
        </w:rPr>
        <w:t>.</w:t>
      </w:r>
      <w:r>
        <w:rPr>
          <w:rFonts w:ascii="仿宋_GB2312" w:hint="eastAsia"/>
          <w:szCs w:val="32"/>
        </w:rPr>
        <w:t>项目经济性分析。按年初预算，用于召开年报的场地费、资料费、参会人员餐费等费用预计为</w:t>
      </w:r>
      <w:r w:rsidR="00B3222A" w:rsidRPr="00024635">
        <w:rPr>
          <w:rFonts w:ascii="Times New Roman" w:hAnsi="Times New Roman" w:cs="Times New Roman"/>
          <w:szCs w:val="32"/>
        </w:rPr>
        <w:t>51000</w:t>
      </w:r>
      <w:r w:rsidR="00B3222A">
        <w:rPr>
          <w:rFonts w:ascii="仿宋_GB2312" w:hint="eastAsia"/>
          <w:szCs w:val="32"/>
        </w:rPr>
        <w:t>元</w:t>
      </w:r>
      <w:r>
        <w:rPr>
          <w:rFonts w:ascii="仿宋_GB2312" w:hint="eastAsia"/>
          <w:szCs w:val="32"/>
        </w:rPr>
        <w:t>，</w:t>
      </w:r>
      <w:r w:rsidR="00B3222A">
        <w:rPr>
          <w:rFonts w:ascii="仿宋_GB2312" w:hint="eastAsia"/>
          <w:szCs w:val="32"/>
        </w:rPr>
        <w:t>调减预算为</w:t>
      </w:r>
      <w:r w:rsidR="00B3222A" w:rsidRPr="00024635">
        <w:rPr>
          <w:rFonts w:ascii="Times New Roman" w:hAnsi="Times New Roman" w:cs="Times New Roman"/>
          <w:szCs w:val="32"/>
        </w:rPr>
        <w:t>40000</w:t>
      </w:r>
      <w:r w:rsidR="00B3222A">
        <w:rPr>
          <w:rFonts w:ascii="仿宋_GB2312" w:hint="eastAsia"/>
          <w:szCs w:val="32"/>
        </w:rPr>
        <w:t>元</w:t>
      </w:r>
      <w:r>
        <w:rPr>
          <w:rFonts w:ascii="仿宋_GB2312" w:hint="eastAsia"/>
          <w:szCs w:val="32"/>
        </w:rPr>
        <w:t>。由于各专业整合资源，统筹会议时间，精简培训内容，加强培训场地费用的谈判，年报会议实际支出</w:t>
      </w:r>
      <w:r w:rsidR="00B3222A" w:rsidRPr="00024635">
        <w:rPr>
          <w:rFonts w:ascii="Times New Roman" w:hAnsi="Times New Roman" w:cs="Times New Roman"/>
          <w:szCs w:val="32"/>
        </w:rPr>
        <w:t>39200</w:t>
      </w:r>
      <w:r w:rsidR="00B3222A">
        <w:rPr>
          <w:rFonts w:ascii="仿宋_GB2312" w:hint="eastAsia"/>
          <w:szCs w:val="32"/>
        </w:rPr>
        <w:t>元</w:t>
      </w:r>
      <w:r w:rsidR="00024635">
        <w:rPr>
          <w:rFonts w:ascii="仿宋_GB2312" w:hint="eastAsia"/>
          <w:szCs w:val="32"/>
        </w:rPr>
        <w:t>，剩余部分由区财政收回。</w:t>
      </w:r>
    </w:p>
    <w:p w:rsidR="001C092E" w:rsidRDefault="00E72B5F" w:rsidP="00A94B37">
      <w:pPr>
        <w:spacing w:line="600" w:lineRule="exact"/>
        <w:ind w:firstLineChars="200" w:firstLine="599"/>
        <w:rPr>
          <w:rFonts w:ascii="仿宋_GB2312"/>
          <w:szCs w:val="32"/>
        </w:rPr>
      </w:pPr>
      <w:r w:rsidRPr="00024635">
        <w:rPr>
          <w:rFonts w:ascii="Times New Roman" w:hAnsi="Times New Roman" w:cs="Times New Roman"/>
          <w:szCs w:val="32"/>
        </w:rPr>
        <w:t>2</w:t>
      </w:r>
      <w:r>
        <w:rPr>
          <w:rFonts w:ascii="仿宋_GB2312"/>
          <w:szCs w:val="32"/>
        </w:rPr>
        <w:t>.</w:t>
      </w:r>
      <w:r w:rsidR="00B3222A">
        <w:rPr>
          <w:rFonts w:ascii="仿宋_GB2312" w:hint="eastAsia"/>
          <w:szCs w:val="32"/>
        </w:rPr>
        <w:t>项目的效率性分析</w:t>
      </w:r>
    </w:p>
    <w:p w:rsidR="001C092E" w:rsidRDefault="00E72B5F" w:rsidP="00A94B37">
      <w:pPr>
        <w:ind w:firstLineChars="200" w:firstLine="599"/>
        <w:rPr>
          <w:rFonts w:ascii="仿宋_GB2312"/>
          <w:szCs w:val="32"/>
        </w:rPr>
      </w:pPr>
      <w:r>
        <w:rPr>
          <w:rFonts w:ascii="仿宋_GB2312" w:hint="eastAsia"/>
          <w:szCs w:val="32"/>
        </w:rPr>
        <w:t>项目资金使用严格按文件规定执行，做到专款专用，按时核拨发放。年报会议费用仅用于各专业召开年报培训会议使用，年报工作序推进。</w:t>
      </w:r>
    </w:p>
    <w:p w:rsidR="001C092E" w:rsidRDefault="00E72B5F" w:rsidP="00A94B37">
      <w:pPr>
        <w:ind w:firstLineChars="200" w:firstLine="599"/>
        <w:outlineLvl w:val="0"/>
        <w:rPr>
          <w:rFonts w:ascii="仿宋_GB2312"/>
          <w:szCs w:val="32"/>
        </w:rPr>
      </w:pPr>
      <w:r w:rsidRPr="00024635">
        <w:rPr>
          <w:rFonts w:ascii="Times New Roman" w:hAnsi="Times New Roman" w:cs="Times New Roman"/>
          <w:szCs w:val="32"/>
        </w:rPr>
        <w:t>3</w:t>
      </w:r>
      <w:r>
        <w:rPr>
          <w:rFonts w:ascii="仿宋_GB2312"/>
          <w:szCs w:val="32"/>
        </w:rPr>
        <w:t>.</w:t>
      </w:r>
      <w:r w:rsidR="00B3222A">
        <w:rPr>
          <w:rFonts w:ascii="仿宋_GB2312" w:hint="eastAsia"/>
          <w:szCs w:val="32"/>
        </w:rPr>
        <w:t>项目的效益性分析</w:t>
      </w:r>
    </w:p>
    <w:p w:rsidR="001C092E" w:rsidRDefault="00E72B5F" w:rsidP="00A94B37">
      <w:pPr>
        <w:ind w:firstLineChars="200" w:firstLine="599"/>
        <w:outlineLvl w:val="0"/>
        <w:rPr>
          <w:szCs w:val="32"/>
        </w:rPr>
      </w:pPr>
      <w:r>
        <w:rPr>
          <w:rFonts w:ascii="仿宋_GB2312" w:hint="eastAsia"/>
          <w:szCs w:val="32"/>
        </w:rPr>
        <w:t>我局大部门统计专业需要召开年报会议，在年报会议上传达上级统计会议精神，对年报的填报进行培训讲解，确保参会人员理解需要上报的指标口径、统计方法和上报要求。由于统计需求</w:t>
      </w:r>
      <w:r>
        <w:rPr>
          <w:rFonts w:ascii="仿宋_GB2312" w:hint="eastAsia"/>
          <w:szCs w:val="32"/>
        </w:rPr>
        <w:lastRenderedPageBreak/>
        <w:t>的不断更新，统计的内容和填报要求会不断更新，只有认真召开年报培训会议，向企业和报表单位仔细讲解报表制度才能在规定时限内上报全年数据，才能及时汇总出统计数据，让区委、区政府准确掌握区各行各领域的实际发展现状，为检验工作成果提供</w:t>
      </w:r>
      <w:r>
        <w:rPr>
          <w:rFonts w:hint="eastAsia"/>
          <w:szCs w:val="32"/>
        </w:rPr>
        <w:t>更加有力的数据支撑，为制定相关政策措施提供有效参考。</w:t>
      </w:r>
    </w:p>
    <w:p w:rsidR="001C092E" w:rsidRPr="00B3222A" w:rsidRDefault="00B3222A" w:rsidP="00B3222A">
      <w:pPr>
        <w:ind w:firstLineChars="200" w:firstLine="599"/>
        <w:rPr>
          <w:rFonts w:ascii="黑体" w:eastAsia="黑体" w:hAnsi="黑体"/>
          <w:szCs w:val="32"/>
        </w:rPr>
      </w:pPr>
      <w:r w:rsidRPr="00B3222A">
        <w:rPr>
          <w:rFonts w:ascii="黑体" w:eastAsia="黑体" w:hAnsi="黑体" w:hint="eastAsia"/>
          <w:szCs w:val="32"/>
        </w:rPr>
        <w:t>五、综合评价情况及评价结论</w:t>
      </w:r>
    </w:p>
    <w:p w:rsidR="001C092E" w:rsidRDefault="00E72B5F" w:rsidP="00A94B37">
      <w:pPr>
        <w:ind w:firstLineChars="200" w:firstLine="599"/>
        <w:outlineLvl w:val="0"/>
        <w:rPr>
          <w:rFonts w:ascii="仿宋_GB2312"/>
          <w:szCs w:val="32"/>
        </w:rPr>
      </w:pPr>
      <w:r>
        <w:rPr>
          <w:rFonts w:ascii="仿宋_GB2312" w:hint="eastAsia"/>
          <w:szCs w:val="32"/>
        </w:rPr>
        <w:t>新区经济建设步伐加快，统计需求不断上升，</w:t>
      </w:r>
      <w:r>
        <w:rPr>
          <w:rFonts w:ascii="仿宋_GB2312" w:cs="Tahoma" w:hint="eastAsia"/>
          <w:szCs w:val="32"/>
        </w:rPr>
        <w:t>为认真做好我区工业、建筑业、批发和零售业、住宿和餐饮业、房地产业、服务业等专业全年统计工作，根据实际情况需要召开年报会议，</w:t>
      </w:r>
      <w:r>
        <w:rPr>
          <w:rFonts w:ascii="仿宋_GB2312" w:hint="eastAsia"/>
          <w:szCs w:val="32"/>
        </w:rPr>
        <w:t>对填报具体进行培训讲解，确保参会人员准确理解需要上报的指标口径、统计方法和上报要求，在规定时限内上报全年数据，让区委、区政府准确掌握区各行各领域的实际发展现状，摸清经济总量和经济结构，为检验考核各部门工作提供</w:t>
      </w:r>
      <w:r>
        <w:rPr>
          <w:rFonts w:hint="eastAsia"/>
          <w:szCs w:val="32"/>
        </w:rPr>
        <w:t>更加有力的数据支撑，为制定相关政策措施提供有效参考。在统计工作中，年报意义重大，成果利用率高，我局年报会议经费专款专用，</w:t>
      </w:r>
      <w:r>
        <w:rPr>
          <w:rFonts w:ascii="仿宋_GB2312" w:hint="eastAsia"/>
          <w:szCs w:val="32"/>
        </w:rPr>
        <w:t>使用规范合理。自评等级优秀。</w:t>
      </w:r>
    </w:p>
    <w:p w:rsidR="001C092E" w:rsidRPr="00B3222A" w:rsidRDefault="00B3222A" w:rsidP="00B3222A">
      <w:pPr>
        <w:numPr>
          <w:ilvl w:val="0"/>
          <w:numId w:val="3"/>
        </w:numPr>
        <w:ind w:firstLineChars="200" w:firstLine="599"/>
        <w:rPr>
          <w:rFonts w:ascii="黑体" w:eastAsia="黑体" w:hAnsi="黑体"/>
          <w:szCs w:val="32"/>
        </w:rPr>
      </w:pPr>
      <w:r w:rsidRPr="00B3222A">
        <w:rPr>
          <w:rFonts w:ascii="黑体" w:eastAsia="黑体" w:hAnsi="黑体" w:hint="eastAsia"/>
          <w:szCs w:val="32"/>
        </w:rPr>
        <w:t>主要经验及做法、存在的问题和建议</w:t>
      </w:r>
    </w:p>
    <w:p w:rsidR="001C092E" w:rsidRDefault="00E72B5F" w:rsidP="001C092E">
      <w:pPr>
        <w:ind w:firstLineChars="200" w:firstLine="599"/>
        <w:rPr>
          <w:rFonts w:ascii="仿宋_GB2312"/>
          <w:bCs/>
          <w:szCs w:val="32"/>
        </w:rPr>
      </w:pPr>
      <w:r>
        <w:rPr>
          <w:rFonts w:ascii="仿宋_GB2312" w:hint="eastAsia"/>
          <w:bCs/>
          <w:szCs w:val="32"/>
        </w:rPr>
        <w:t>项目支出绩效评价运行实践经验还欠缺，相关制度建设还有待进一步加强，还应加强过程管理，不断整合资源，做好统筹工作，现阶段面临着省、市统计年报时间跨度大，年报计划不确定等可变因素的影响，在编制预算与执行中，区统计局将积极与市级各专业处室对接，及时确定区级年报召开时间，优化培训内容，</w:t>
      </w:r>
      <w:r>
        <w:rPr>
          <w:rFonts w:ascii="仿宋_GB2312" w:hint="eastAsia"/>
          <w:bCs/>
          <w:szCs w:val="32"/>
        </w:rPr>
        <w:lastRenderedPageBreak/>
        <w:t>充分发挥年报培训会议的作用，促进统计工作的有序开展。</w:t>
      </w:r>
      <w:bookmarkStart w:id="0" w:name="_GoBack"/>
      <w:bookmarkEnd w:id="0"/>
    </w:p>
    <w:p w:rsidR="00024635" w:rsidRDefault="00024635" w:rsidP="001C092E">
      <w:pPr>
        <w:ind w:firstLineChars="200" w:firstLine="599"/>
        <w:rPr>
          <w:rFonts w:ascii="仿宋_GB2312"/>
          <w:bCs/>
          <w:szCs w:val="32"/>
        </w:rPr>
      </w:pPr>
    </w:p>
    <w:p w:rsidR="00024635" w:rsidRDefault="00024635" w:rsidP="001C092E">
      <w:pPr>
        <w:ind w:firstLineChars="200" w:firstLine="599"/>
        <w:rPr>
          <w:rFonts w:ascii="仿宋_GB2312"/>
          <w:bCs/>
          <w:szCs w:val="32"/>
        </w:rPr>
      </w:pPr>
    </w:p>
    <w:p w:rsidR="00B3222A" w:rsidRDefault="00B3222A" w:rsidP="00B3222A">
      <w:pPr>
        <w:ind w:firstLineChars="200" w:firstLine="599"/>
        <w:jc w:val="right"/>
        <w:rPr>
          <w:rFonts w:ascii="仿宋_GB2312"/>
          <w:bCs/>
          <w:szCs w:val="32"/>
        </w:rPr>
      </w:pPr>
      <w:r>
        <w:rPr>
          <w:rFonts w:ascii="仿宋_GB2312" w:hint="eastAsia"/>
          <w:bCs/>
          <w:szCs w:val="32"/>
        </w:rPr>
        <w:t>昆明市呈贡区统计局</w:t>
      </w:r>
    </w:p>
    <w:p w:rsidR="00B3222A" w:rsidRDefault="00B3222A" w:rsidP="00B3222A">
      <w:pPr>
        <w:ind w:firstLineChars="200" w:firstLine="599"/>
        <w:jc w:val="right"/>
      </w:pPr>
      <w:r w:rsidRPr="00024635">
        <w:rPr>
          <w:rFonts w:ascii="Times New Roman" w:hAnsi="Times New Roman" w:cs="Times New Roman"/>
          <w:bCs/>
          <w:szCs w:val="32"/>
        </w:rPr>
        <w:t>2020</w:t>
      </w:r>
      <w:r>
        <w:rPr>
          <w:rFonts w:ascii="仿宋_GB2312" w:hint="eastAsia"/>
          <w:bCs/>
          <w:szCs w:val="32"/>
        </w:rPr>
        <w:t>年</w:t>
      </w:r>
      <w:r w:rsidRPr="00024635">
        <w:rPr>
          <w:rFonts w:ascii="Times New Roman" w:hAnsi="Times New Roman" w:cs="Times New Roman"/>
          <w:bCs/>
          <w:szCs w:val="32"/>
        </w:rPr>
        <w:t>3</w:t>
      </w:r>
      <w:r>
        <w:rPr>
          <w:rFonts w:ascii="仿宋_GB2312" w:hint="eastAsia"/>
          <w:bCs/>
          <w:szCs w:val="32"/>
        </w:rPr>
        <w:t>月</w:t>
      </w:r>
      <w:r w:rsidR="00024635">
        <w:rPr>
          <w:rFonts w:ascii="Times New Roman" w:hAnsi="Times New Roman" w:cs="Times New Roman" w:hint="eastAsia"/>
          <w:bCs/>
          <w:szCs w:val="32"/>
        </w:rPr>
        <w:t>28</w:t>
      </w:r>
      <w:r>
        <w:rPr>
          <w:rFonts w:ascii="仿宋_GB2312" w:hint="eastAsia"/>
          <w:bCs/>
          <w:szCs w:val="32"/>
        </w:rPr>
        <w:t>日</w:t>
      </w:r>
    </w:p>
    <w:sectPr w:rsidR="00B3222A" w:rsidSect="001C092E">
      <w:footerReference w:type="even" r:id="rId8"/>
      <w:footerReference w:type="default" r:id="rId9"/>
      <w:pgSz w:w="11907" w:h="16840"/>
      <w:pgMar w:top="1757" w:right="1757" w:bottom="1757" w:left="1757" w:header="851" w:footer="1304" w:gutter="0"/>
      <w:cols w:space="720"/>
      <w:docGrid w:type="linesAndChars" w:linePitch="587" w:charSpace="-41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BCC" w:rsidRDefault="00B41BCC" w:rsidP="001C092E">
      <w:r>
        <w:separator/>
      </w:r>
    </w:p>
  </w:endnote>
  <w:endnote w:type="continuationSeparator" w:id="1">
    <w:p w:rsidR="00B41BCC" w:rsidRDefault="00B41BCC" w:rsidP="001C0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2E" w:rsidRDefault="00E72B5F">
    <w:pPr>
      <w:pStyle w:val="a3"/>
      <w:framePr w:wrap="around" w:vAnchor="text" w:hAnchor="margin" w:xAlign="outside" w:y="1"/>
      <w:ind w:left="335"/>
      <w:rPr>
        <w:rStyle w:val="a5"/>
        <w:rFonts w:ascii="宋体" w:eastAsia="宋体" w:hAnsi="宋体"/>
        <w:sz w:val="28"/>
      </w:rPr>
    </w:pPr>
    <w:r>
      <w:rPr>
        <w:rStyle w:val="a5"/>
        <w:rFonts w:ascii="宋体" w:eastAsia="宋体" w:hAnsi="宋体"/>
        <w:sz w:val="28"/>
      </w:rPr>
      <w:t>—</w:t>
    </w:r>
    <w:r w:rsidR="00AF66E8">
      <w:rPr>
        <w:rFonts w:ascii="宋体" w:eastAsia="宋体" w:hAnsi="宋体"/>
        <w:sz w:val="28"/>
      </w:rPr>
      <w:fldChar w:fldCharType="begin"/>
    </w:r>
    <w:r>
      <w:rPr>
        <w:rStyle w:val="a5"/>
        <w:rFonts w:ascii="宋体" w:eastAsia="宋体" w:hAnsi="宋体"/>
        <w:sz w:val="28"/>
      </w:rPr>
      <w:instrText xml:space="preserve">PAGE  </w:instrText>
    </w:r>
    <w:r w:rsidR="00AF66E8">
      <w:rPr>
        <w:rFonts w:ascii="宋体" w:eastAsia="宋体" w:hAnsi="宋体"/>
        <w:sz w:val="28"/>
      </w:rPr>
      <w:fldChar w:fldCharType="separate"/>
    </w:r>
    <w:r>
      <w:rPr>
        <w:rStyle w:val="a5"/>
        <w:rFonts w:ascii="宋体" w:eastAsia="宋体" w:hAnsi="宋体"/>
        <w:sz w:val="28"/>
      </w:rPr>
      <w:t>12</w:t>
    </w:r>
    <w:r w:rsidR="00AF66E8">
      <w:rPr>
        <w:rFonts w:ascii="宋体" w:eastAsia="宋体" w:hAnsi="宋体"/>
        <w:sz w:val="28"/>
      </w:rPr>
      <w:fldChar w:fldCharType="end"/>
    </w:r>
    <w:r>
      <w:rPr>
        <w:rStyle w:val="a5"/>
        <w:rFonts w:ascii="宋体" w:eastAsia="宋体" w:hAnsi="宋体"/>
        <w:sz w:val="28"/>
      </w:rPr>
      <w:t>—</w:t>
    </w:r>
  </w:p>
  <w:p w:rsidR="001C092E" w:rsidRDefault="001C092E">
    <w:pPr>
      <w:pStyle w:val="a3"/>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2E" w:rsidRPr="00DB65F3" w:rsidRDefault="00E72B5F">
    <w:pPr>
      <w:pStyle w:val="a3"/>
      <w:framePr w:wrap="around" w:vAnchor="text" w:hAnchor="margin" w:xAlign="outside" w:y="1"/>
      <w:ind w:right="335"/>
      <w:rPr>
        <w:rStyle w:val="a5"/>
        <w:rFonts w:ascii="仿宋_GB2312" w:hAnsi="宋体" w:hint="eastAsia"/>
        <w:sz w:val="28"/>
      </w:rPr>
    </w:pPr>
    <w:r w:rsidRPr="00DB65F3">
      <w:rPr>
        <w:rStyle w:val="a5"/>
        <w:rFonts w:ascii="仿宋_GB2312" w:hAnsi="宋体" w:hint="eastAsia"/>
        <w:sz w:val="28"/>
      </w:rPr>
      <w:t>—</w:t>
    </w:r>
    <w:r w:rsidR="00AF66E8" w:rsidRPr="00DB65F3">
      <w:rPr>
        <w:rFonts w:ascii="仿宋_GB2312" w:hAnsi="宋体" w:hint="eastAsia"/>
        <w:sz w:val="28"/>
      </w:rPr>
      <w:fldChar w:fldCharType="begin"/>
    </w:r>
    <w:r w:rsidRPr="00DB65F3">
      <w:rPr>
        <w:rStyle w:val="a5"/>
        <w:rFonts w:ascii="仿宋_GB2312" w:hAnsi="宋体" w:hint="eastAsia"/>
        <w:sz w:val="28"/>
      </w:rPr>
      <w:instrText xml:space="preserve">PAGE  </w:instrText>
    </w:r>
    <w:r w:rsidR="00AF66E8" w:rsidRPr="00DB65F3">
      <w:rPr>
        <w:rFonts w:ascii="仿宋_GB2312" w:hAnsi="宋体" w:hint="eastAsia"/>
        <w:sz w:val="28"/>
      </w:rPr>
      <w:fldChar w:fldCharType="separate"/>
    </w:r>
    <w:r w:rsidR="00DB65F3">
      <w:rPr>
        <w:rStyle w:val="a5"/>
        <w:rFonts w:ascii="仿宋_GB2312" w:hAnsi="宋体"/>
        <w:noProof/>
        <w:sz w:val="28"/>
      </w:rPr>
      <w:t>6</w:t>
    </w:r>
    <w:r w:rsidR="00AF66E8" w:rsidRPr="00DB65F3">
      <w:rPr>
        <w:rFonts w:ascii="仿宋_GB2312" w:hAnsi="宋体" w:hint="eastAsia"/>
        <w:sz w:val="28"/>
      </w:rPr>
      <w:fldChar w:fldCharType="end"/>
    </w:r>
    <w:r w:rsidRPr="00DB65F3">
      <w:rPr>
        <w:rStyle w:val="a5"/>
        <w:rFonts w:ascii="仿宋_GB2312" w:hAnsi="宋体" w:hint="eastAsia"/>
        <w:sz w:val="28"/>
      </w:rPr>
      <w:t>—</w:t>
    </w:r>
  </w:p>
  <w:p w:rsidR="001C092E" w:rsidRDefault="001C092E">
    <w:pPr>
      <w:pStyle w:val="a3"/>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BCC" w:rsidRDefault="00B41BCC" w:rsidP="001C092E">
      <w:r>
        <w:separator/>
      </w:r>
    </w:p>
  </w:footnote>
  <w:footnote w:type="continuationSeparator" w:id="1">
    <w:p w:rsidR="00B41BCC" w:rsidRDefault="00B41BCC" w:rsidP="001C0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D9DF"/>
    <w:multiLevelType w:val="singleLevel"/>
    <w:tmpl w:val="5AE2D9DF"/>
    <w:lvl w:ilvl="0">
      <w:start w:val="2"/>
      <w:numFmt w:val="chineseCounting"/>
      <w:suff w:val="nothing"/>
      <w:lvlText w:val="（%1）"/>
      <w:lvlJc w:val="left"/>
    </w:lvl>
  </w:abstractNum>
  <w:abstractNum w:abstractNumId="1">
    <w:nsid w:val="5AE2DBAD"/>
    <w:multiLevelType w:val="singleLevel"/>
    <w:tmpl w:val="5AE2DBAD"/>
    <w:lvl w:ilvl="0">
      <w:start w:val="2"/>
      <w:numFmt w:val="chineseCounting"/>
      <w:suff w:val="nothing"/>
      <w:lvlText w:val="%1、"/>
      <w:lvlJc w:val="left"/>
    </w:lvl>
  </w:abstractNum>
  <w:abstractNum w:abstractNumId="2">
    <w:nsid w:val="5AE2E333"/>
    <w:multiLevelType w:val="singleLevel"/>
    <w:tmpl w:val="5AE2E333"/>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0541C6"/>
    <w:rsid w:val="00024635"/>
    <w:rsid w:val="00024F0F"/>
    <w:rsid w:val="000F076C"/>
    <w:rsid w:val="00172396"/>
    <w:rsid w:val="0017467E"/>
    <w:rsid w:val="001C092E"/>
    <w:rsid w:val="00290CF7"/>
    <w:rsid w:val="00311D7C"/>
    <w:rsid w:val="00680640"/>
    <w:rsid w:val="006B6FF5"/>
    <w:rsid w:val="00786BFD"/>
    <w:rsid w:val="00793358"/>
    <w:rsid w:val="00835382"/>
    <w:rsid w:val="008848AB"/>
    <w:rsid w:val="008F15E0"/>
    <w:rsid w:val="00917AB7"/>
    <w:rsid w:val="009318E2"/>
    <w:rsid w:val="009455FC"/>
    <w:rsid w:val="00960D78"/>
    <w:rsid w:val="009632C0"/>
    <w:rsid w:val="009E733B"/>
    <w:rsid w:val="00A94B37"/>
    <w:rsid w:val="00AE52E5"/>
    <w:rsid w:val="00AF66E8"/>
    <w:rsid w:val="00B3222A"/>
    <w:rsid w:val="00B41BCC"/>
    <w:rsid w:val="00BE2162"/>
    <w:rsid w:val="00C04743"/>
    <w:rsid w:val="00C8067B"/>
    <w:rsid w:val="00CA0B30"/>
    <w:rsid w:val="00CC6339"/>
    <w:rsid w:val="00D33573"/>
    <w:rsid w:val="00DB65F3"/>
    <w:rsid w:val="00E12DDA"/>
    <w:rsid w:val="00E45CF2"/>
    <w:rsid w:val="00E72B5F"/>
    <w:rsid w:val="00E878C4"/>
    <w:rsid w:val="00EB1B62"/>
    <w:rsid w:val="00F360E4"/>
    <w:rsid w:val="3711768B"/>
    <w:rsid w:val="433D7FEC"/>
    <w:rsid w:val="79054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92E"/>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092E"/>
    <w:pPr>
      <w:tabs>
        <w:tab w:val="center" w:pos="4153"/>
        <w:tab w:val="right" w:pos="8306"/>
      </w:tabs>
      <w:snapToGrid w:val="0"/>
      <w:jc w:val="left"/>
    </w:pPr>
    <w:rPr>
      <w:rFonts w:cs="Times New Roman"/>
      <w:sz w:val="18"/>
      <w:szCs w:val="18"/>
    </w:rPr>
  </w:style>
  <w:style w:type="paragraph" w:styleId="a4">
    <w:name w:val="header"/>
    <w:basedOn w:val="a"/>
    <w:link w:val="Char"/>
    <w:rsid w:val="001C092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1C092E"/>
    <w:rPr>
      <w:rFonts w:cs="Times New Roman"/>
    </w:rPr>
  </w:style>
  <w:style w:type="character" w:customStyle="1" w:styleId="Char">
    <w:name w:val="页眉 Char"/>
    <w:basedOn w:val="a0"/>
    <w:link w:val="a4"/>
    <w:rsid w:val="001C092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19</cp:revision>
  <dcterms:created xsi:type="dcterms:W3CDTF">2018-04-27T07:23:00Z</dcterms:created>
  <dcterms:modified xsi:type="dcterms:W3CDTF">2020-06-11T07:52:00Z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