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rPr>
        <w:t>粮食安全管理经费项目支出绩效报告</w:t>
      </w:r>
    </w:p>
    <w:bookmarkEnd w:id="0"/>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hint="eastAsia" w:ascii="仿宋_GB2312"/>
          <w:szCs w:val="32"/>
        </w:rPr>
      </w:pPr>
      <w:r>
        <w:rPr>
          <w:rFonts w:hint="eastAsia" w:ascii="仿宋_GB2312"/>
          <w:szCs w:val="32"/>
        </w:rPr>
        <w:t>开展社会粮食安全监督检查管理工作，确保全区粮食安全，保障粮油市场稳定。经费使用范围包括粮油食品安全检查、检测费，粮油市场监督检查等。</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ind w:firstLine="594" w:firstLineChars="200"/>
        <w:rPr>
          <w:rFonts w:hint="eastAsia" w:ascii="仿宋_GB2312"/>
          <w:szCs w:val="32"/>
        </w:rPr>
      </w:pPr>
      <w:r>
        <w:rPr>
          <w:rFonts w:hint="eastAsia" w:ascii="仿宋_GB2312"/>
          <w:szCs w:val="32"/>
        </w:rPr>
        <w:t>按上级下达要求加强全区201</w:t>
      </w:r>
      <w:r>
        <w:rPr>
          <w:rFonts w:hint="eastAsia" w:ascii="仿宋_GB2312"/>
          <w:szCs w:val="32"/>
          <w:lang w:val="en-US" w:eastAsia="zh-CN"/>
        </w:rPr>
        <w:t>9</w:t>
      </w:r>
      <w:r>
        <w:rPr>
          <w:rFonts w:hint="eastAsia" w:ascii="仿宋_GB2312"/>
          <w:szCs w:val="32"/>
        </w:rPr>
        <w:t>年粮食安全监督检查管理工作，确保全区粮食安全，保障粮油市场稳定。</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szCs w:val="32"/>
        </w:rPr>
        <w:t>粮食安全管理经费项目资金</w:t>
      </w:r>
      <w:r>
        <w:rPr>
          <w:rFonts w:hint="eastAsia" w:ascii="仿宋_GB2312"/>
          <w:szCs w:val="32"/>
          <w:lang w:val="en-US" w:eastAsia="zh-CN"/>
        </w:rPr>
        <w:t>30000</w:t>
      </w:r>
      <w:r>
        <w:rPr>
          <w:rFonts w:hint="eastAsia" w:ascii="仿宋_GB2312"/>
          <w:szCs w:val="32"/>
        </w:rPr>
        <w:t>元，区级财政资金及时到位，到位率100%，</w:t>
      </w:r>
      <w:r>
        <w:rPr>
          <w:rFonts w:hint="eastAsia" w:ascii="仿宋_GB2312" w:hAnsi="宋体" w:cs="宋体"/>
          <w:kern w:val="0"/>
          <w:szCs w:val="32"/>
        </w:rPr>
        <w:t>支出依据合规，无虚列项目支出情况，无截留挤占挪用情况，无超标准开支情况，无超预算情况，</w:t>
      </w:r>
      <w:r>
        <w:rPr>
          <w:rFonts w:hint="eastAsia" w:ascii="仿宋_GB2312"/>
          <w:szCs w:val="32"/>
        </w:rPr>
        <w:t>项目资金根据预算下达各粮食调查统计户，项目资金实施绩效管理，</w:t>
      </w:r>
      <w:r>
        <w:rPr>
          <w:rFonts w:hint="eastAsia" w:ascii="仿宋_GB2312" w:hAnsi="宋体" w:cs="宋体"/>
          <w:kern w:val="0"/>
          <w:szCs w:val="32"/>
        </w:rPr>
        <w:t>资金管理、费用支出等制度健全，制度执行严格，会计核算规范。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hint="eastAsia" w:ascii="仿宋_GB2312" w:hAnsi="仿宋_GB2312" w:eastAsia="仿宋_GB2312" w:cs="仿宋_GB2312"/>
          <w:szCs w:val="32"/>
        </w:rPr>
      </w:pPr>
      <w:r>
        <w:rPr>
          <w:rFonts w:hint="eastAsia" w:ascii="仿宋_GB2312" w:hAnsi="宋体" w:cs="宋体"/>
          <w:kern w:val="0"/>
          <w:szCs w:val="32"/>
        </w:rPr>
        <w:t>成立昆明市呈贡区发展和改革局绩效评价工作小组组织实施，机构健全、分工明确，项目按计划开工，按计划进度开展，按计划完工，项目管理制度健全，严格执行相关管理制度。</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594" w:firstLineChars="200"/>
        <w:outlineLvl w:val="0"/>
        <w:rPr>
          <w:rFonts w:ascii="仿宋_GB2312"/>
          <w:szCs w:val="32"/>
        </w:rPr>
      </w:pPr>
      <w:r>
        <w:rPr>
          <w:rFonts w:hint="eastAsia" w:ascii="仿宋_GB2312"/>
          <w:szCs w:val="32"/>
        </w:rPr>
        <w:t>主项目成本（预算）有效控制，实施绩效管理，专款专用，</w:t>
      </w:r>
      <w:r>
        <w:rPr>
          <w:rFonts w:hint="eastAsia" w:ascii="仿宋_GB2312" w:hAnsi="宋体" w:cs="宋体"/>
          <w:kern w:val="0"/>
          <w:szCs w:val="32"/>
        </w:rPr>
        <w:t>资金管理、费用支出等制度健全，制度执行严格，会计核算规范，项目按计划开工，按计划进度开展，按计划完工，</w:t>
      </w:r>
      <w:r>
        <w:rPr>
          <w:rFonts w:hint="eastAsia" w:ascii="仿宋_GB2312"/>
          <w:szCs w:val="32"/>
        </w:rPr>
        <w:t>达到预期目标，</w:t>
      </w:r>
    </w:p>
    <w:p>
      <w:pPr>
        <w:outlineLvl w:val="0"/>
        <w:rPr>
          <w:rFonts w:hint="eastAsia" w:ascii="仿宋_GB2312"/>
          <w:szCs w:val="32"/>
        </w:rPr>
      </w:pPr>
      <w:r>
        <w:rPr>
          <w:rFonts w:hint="eastAsia" w:ascii="仿宋_GB2312"/>
          <w:szCs w:val="32"/>
        </w:rPr>
        <w:t>项目预期目标完成程度100%，</w:t>
      </w:r>
      <w:r>
        <w:rPr>
          <w:rFonts w:hint="eastAsia" w:ascii="仿宋_GB2312"/>
          <w:bCs/>
          <w:szCs w:val="32"/>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eastAsia="仿宋_GB2312"/>
          <w:szCs w:val="32"/>
          <w:lang w:val="en-US" w:eastAsia="zh-CN"/>
        </w:rPr>
      </w:pPr>
      <w:r>
        <w:rPr>
          <w:rFonts w:hint="eastAsia" w:ascii="仿宋_GB2312"/>
          <w:szCs w:val="32"/>
          <w:lang w:val="en-US"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资金拨付方面的问题。拨付是否及时，有无滞留、闲置等现象。</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严格按照相关管理制度开展绩效工作。</w:t>
      </w:r>
    </w:p>
    <w:p>
      <w:pPr>
        <w:topLinePunct/>
        <w:ind w:firstLine="594" w:firstLineChars="200"/>
        <w:rPr>
          <w:rFonts w:ascii="仿宋_GB2312"/>
          <w:szCs w:val="32"/>
        </w:rPr>
      </w:pPr>
      <w:r>
        <w:rPr>
          <w:rFonts w:hint="eastAsia" w:ascii="仿宋_GB2312"/>
          <w:szCs w:val="32"/>
        </w:rPr>
        <w:t>（二）主要经验做法、改进措施和有关建议等。</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4F96B"/>
    <w:multiLevelType w:val="singleLevel"/>
    <w:tmpl w:val="DDB4F9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4FE7795"/>
    <w:rsid w:val="378A5996"/>
    <w:rsid w:val="47E51CFF"/>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2020-04-07T06:01:59Z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