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r>
        <w:rPr>
          <w:rFonts w:hint="eastAsia" w:ascii="方正小标宋_GBK" w:eastAsia="方正小标宋_GBK"/>
          <w:sz w:val="36"/>
          <w:szCs w:val="36"/>
        </w:rPr>
        <w:t>储备粮油利费补贴支出项目支出绩效报告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为保障全区粮食市场稳定，提高应对突发事件能力，确保全区粮食安全，提升应对自然灾害及突发事件的能力，根据昆明市粮食局下达的《粮食安全行政首长责任制目标考核责任书》及呈贡区政府建立区级储备的文件要求</w:t>
      </w:r>
      <w:r>
        <w:rPr>
          <w:rFonts w:hint="eastAsia" w:ascii="仿宋_GB2312"/>
          <w:szCs w:val="32"/>
          <w:lang w:eastAsia="zh-CN"/>
        </w:rPr>
        <w:t>开展</w:t>
      </w:r>
      <w:r>
        <w:rPr>
          <w:rFonts w:hint="eastAsia" w:ascii="仿宋_GB2312"/>
          <w:szCs w:val="32"/>
        </w:rPr>
        <w:t>呈贡区储备区级储备粮稻谷</w:t>
      </w:r>
      <w:r>
        <w:rPr>
          <w:rFonts w:hint="eastAsia" w:ascii="仿宋_GB2312"/>
          <w:szCs w:val="32"/>
          <w:lang w:eastAsia="zh-CN"/>
        </w:rPr>
        <w:t>、</w:t>
      </w:r>
      <w:r>
        <w:rPr>
          <w:rFonts w:hint="eastAsia" w:ascii="仿宋_GB2312"/>
          <w:szCs w:val="32"/>
        </w:rPr>
        <w:t>小麦</w:t>
      </w:r>
      <w:r>
        <w:rPr>
          <w:rFonts w:hint="eastAsia" w:ascii="仿宋_GB2312"/>
          <w:szCs w:val="32"/>
          <w:lang w:eastAsia="zh-CN"/>
        </w:rPr>
        <w:t>、</w:t>
      </w:r>
      <w:r>
        <w:rPr>
          <w:rFonts w:hint="eastAsia" w:ascii="仿宋_GB2312"/>
          <w:szCs w:val="32"/>
        </w:rPr>
        <w:t>成品粮大米</w:t>
      </w:r>
      <w:r>
        <w:rPr>
          <w:rFonts w:hint="eastAsia" w:ascii="仿宋_GB2312"/>
          <w:szCs w:val="32"/>
          <w:lang w:eastAsia="zh-CN"/>
        </w:rPr>
        <w:t>、</w:t>
      </w:r>
      <w:r>
        <w:rPr>
          <w:rFonts w:hint="eastAsia" w:ascii="仿宋_GB2312"/>
          <w:szCs w:val="32"/>
        </w:rPr>
        <w:t>油脂</w:t>
      </w:r>
      <w:r>
        <w:rPr>
          <w:rFonts w:hint="eastAsia" w:ascii="仿宋_GB2312"/>
          <w:szCs w:val="32"/>
          <w:lang w:eastAsia="zh-CN"/>
        </w:rPr>
        <w:t>储备工作</w:t>
      </w:r>
      <w:r>
        <w:rPr>
          <w:rFonts w:hint="eastAsia" w:ascii="仿宋_GB2312"/>
          <w:szCs w:val="32"/>
        </w:rPr>
        <w:t>，为确保区级储备粮油储得进、管得好、调得动、用得上，实现政府宏观调控，呈贡区粮食局根据《呈贡区区级储备粮油管理办法》等相关管理规定，支付承储企业储备粮费用补贴、区级储备粮油贷款利息。</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ind w:firstLine="594" w:firstLineChars="200"/>
        <w:rPr>
          <w:rFonts w:hint="default"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按照上级下达201</w:t>
      </w:r>
      <w:r>
        <w:rPr>
          <w:rFonts w:hint="eastAsia" w:ascii="仿宋_GB2312"/>
          <w:szCs w:val="32"/>
          <w:lang w:val="en-US" w:eastAsia="zh-CN"/>
        </w:rPr>
        <w:t>9</w:t>
      </w:r>
      <w:r>
        <w:rPr>
          <w:rFonts w:hint="eastAsia" w:ascii="仿宋_GB2312"/>
          <w:szCs w:val="32"/>
        </w:rPr>
        <w:t>年储备规模要求储备粮稻谷</w:t>
      </w:r>
      <w:r>
        <w:rPr>
          <w:rFonts w:hint="eastAsia" w:ascii="仿宋_GB2312"/>
          <w:szCs w:val="32"/>
          <w:lang w:eastAsia="zh-CN"/>
        </w:rPr>
        <w:t>、</w:t>
      </w:r>
      <w:r>
        <w:rPr>
          <w:rFonts w:hint="eastAsia" w:ascii="仿宋_GB2312"/>
          <w:szCs w:val="32"/>
        </w:rPr>
        <w:t>小麦</w:t>
      </w:r>
      <w:r>
        <w:rPr>
          <w:rFonts w:hint="eastAsia" w:ascii="仿宋_GB2312"/>
          <w:szCs w:val="32"/>
          <w:lang w:eastAsia="zh-CN"/>
        </w:rPr>
        <w:t>、</w:t>
      </w:r>
      <w:r>
        <w:rPr>
          <w:rFonts w:hint="eastAsia" w:ascii="仿宋_GB2312"/>
          <w:szCs w:val="32"/>
        </w:rPr>
        <w:t>成品粮大米</w:t>
      </w:r>
      <w:r>
        <w:rPr>
          <w:rFonts w:hint="eastAsia" w:ascii="仿宋_GB2312"/>
          <w:szCs w:val="32"/>
          <w:lang w:eastAsia="zh-CN"/>
        </w:rPr>
        <w:t>、</w:t>
      </w:r>
      <w:r>
        <w:rPr>
          <w:rFonts w:hint="eastAsia" w:ascii="仿宋_GB2312"/>
          <w:szCs w:val="32"/>
        </w:rPr>
        <w:t>油脂，为确保区级储备粮油储得进、管得好、调得动、用得上，实现政府宏观调控。</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topLinePunct/>
        <w:ind w:firstLine="594" w:firstLineChars="200"/>
        <w:rPr>
          <w:rFonts w:ascii="仿宋_GB2312" w:hAnsi="宋体" w:cs="宋体"/>
          <w:kern w:val="0"/>
          <w:szCs w:val="32"/>
        </w:rPr>
      </w:pPr>
      <w:r>
        <w:rPr>
          <w:rFonts w:hint="eastAsia" w:ascii="仿宋_GB2312"/>
          <w:szCs w:val="32"/>
        </w:rPr>
        <w:t>储备粮油利费补贴支出项目资金</w:t>
      </w:r>
      <w:r>
        <w:rPr>
          <w:rFonts w:hint="eastAsia" w:ascii="仿宋_GB2312"/>
          <w:szCs w:val="32"/>
          <w:lang w:val="en-US" w:eastAsia="zh-CN"/>
        </w:rPr>
        <w:t>2779654.58</w:t>
      </w:r>
      <w:r>
        <w:rPr>
          <w:rFonts w:hint="eastAsia" w:ascii="仿宋_GB2312"/>
          <w:szCs w:val="32"/>
        </w:rPr>
        <w:t>元，区级财政资金及时到位，到位率100</w:t>
      </w:r>
      <w:bookmarkStart w:id="0" w:name="_GoBack"/>
      <w:bookmarkEnd w:id="0"/>
      <w:r>
        <w:rPr>
          <w:rFonts w:hint="eastAsia" w:ascii="仿宋_GB2312"/>
          <w:szCs w:val="32"/>
        </w:rPr>
        <w:t>%，</w:t>
      </w:r>
      <w:r>
        <w:rPr>
          <w:rFonts w:hint="eastAsia" w:ascii="仿宋_GB2312" w:hAnsi="宋体" w:cs="宋体"/>
          <w:kern w:val="0"/>
          <w:szCs w:val="32"/>
        </w:rPr>
        <w:t>支出依据合规，无虚列项目支出情况，无截留挤占挪用情况，无超标准开支情况，无超预算情况，</w:t>
      </w:r>
      <w:r>
        <w:rPr>
          <w:rFonts w:hint="eastAsia" w:ascii="仿宋_GB2312"/>
          <w:szCs w:val="32"/>
        </w:rPr>
        <w:t>项目资金根据预算下达各户，项目资金实施绩效管理，</w:t>
      </w:r>
      <w:r>
        <w:rPr>
          <w:rFonts w:hint="eastAsia" w:ascii="仿宋_GB2312" w:hAnsi="宋体" w:cs="宋体"/>
          <w:kern w:val="0"/>
          <w:szCs w:val="32"/>
        </w:rPr>
        <w:t>资金管理、费用支出等制度健全，制度执行严格，会计核算规范。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szCs w:val="32"/>
        </w:rPr>
        <w:t>成立昆明市呈贡区发展和改革局绩效评价工作小组组织实施，</w:t>
      </w:r>
      <w:r>
        <w:rPr>
          <w:rFonts w:hint="eastAsia" w:ascii="仿宋_GB2312" w:hAnsi="宋体" w:cs="宋体"/>
          <w:kern w:val="0"/>
          <w:szCs w:val="32"/>
        </w:rPr>
        <w:t>机构健全、分工明确，项目按计划开工，按计划进度开展，按计划完工，项目管理制度健全，严格执行相关管理制度。</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891" w:firstLineChars="300"/>
        <w:outlineLvl w:val="0"/>
        <w:rPr>
          <w:rFonts w:ascii="仿宋_GB2312"/>
          <w:szCs w:val="32"/>
        </w:rPr>
      </w:pPr>
      <w:r>
        <w:rPr>
          <w:rFonts w:hint="eastAsia" w:ascii="仿宋_GB2312"/>
          <w:szCs w:val="32"/>
        </w:rPr>
        <w:t>项目成本（预算）有效控制，实施绩效管理，专款专用，</w:t>
      </w:r>
      <w:r>
        <w:rPr>
          <w:rFonts w:hint="eastAsia" w:ascii="仿宋_GB2312" w:hAnsi="宋体" w:cs="宋体"/>
          <w:kern w:val="0"/>
          <w:szCs w:val="32"/>
        </w:rPr>
        <w:t>资金管理、费用支出等制度健全，制度执行严格，会计核算规范，项目按计划开工，按计划进度开展，按计划完工，</w:t>
      </w:r>
      <w:r>
        <w:rPr>
          <w:rFonts w:hint="eastAsia" w:ascii="仿宋_GB2312"/>
          <w:szCs w:val="32"/>
        </w:rPr>
        <w:t>达到预期目标，</w:t>
      </w:r>
    </w:p>
    <w:p>
      <w:pPr>
        <w:outlineLvl w:val="0"/>
        <w:rPr>
          <w:rFonts w:hint="eastAsia" w:ascii="仿宋_GB2312"/>
          <w:szCs w:val="32"/>
        </w:rPr>
      </w:pPr>
      <w:r>
        <w:rPr>
          <w:rFonts w:hint="eastAsia" w:ascii="仿宋_GB2312"/>
          <w:szCs w:val="32"/>
        </w:rPr>
        <w:t>项目预期目标完成程度100%，</w:t>
      </w:r>
      <w:r>
        <w:rPr>
          <w:rFonts w:hint="eastAsia" w:ascii="仿宋_GB2312"/>
          <w:bCs/>
          <w:szCs w:val="32"/>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eastAsia="仿宋_GB2312"/>
          <w:szCs w:val="32"/>
          <w:lang w:val="en-US" w:eastAsia="zh-CN"/>
        </w:rPr>
      </w:pPr>
      <w:r>
        <w:rPr>
          <w:rFonts w:hint="eastAsia" w:ascii="仿宋_GB2312"/>
          <w:szCs w:val="32"/>
          <w:lang w:val="en-US"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firstLine="594" w:firstLineChars="200"/>
        <w:rPr>
          <w:rFonts w:hint="eastAsia" w:ascii="仿宋_GB2312"/>
          <w:szCs w:val="32"/>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443D7"/>
    <w:multiLevelType w:val="singleLevel"/>
    <w:tmpl w:val="EDF443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3A4229E"/>
    <w:rsid w:val="18487ADC"/>
    <w:rsid w:val="2FC53438"/>
    <w:rsid w:val="378A5996"/>
    <w:rsid w:val="49A947DE"/>
    <w:rsid w:val="4D506061"/>
    <w:rsid w:val="4E8926F1"/>
    <w:rsid w:val="5A3C6978"/>
    <w:rsid w:val="622E3075"/>
    <w:rsid w:val="67600811"/>
    <w:rsid w:val="6D73447C"/>
    <w:rsid w:val="7112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2020-06-11T07:19:17Z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