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val="0"/>
          <w:sz w:val="36"/>
          <w:szCs w:val="36"/>
        </w:rPr>
      </w:pPr>
      <w:bookmarkStart w:id="0" w:name="_GoBack"/>
      <w:r>
        <w:rPr>
          <w:rFonts w:hint="eastAsia" w:ascii="方正小标宋简体" w:hAnsi="方正小标宋简体" w:eastAsia="方正小标宋简体" w:cs="方正小标宋简体"/>
          <w:b w:val="0"/>
          <w:bCs w:val="0"/>
          <w:sz w:val="36"/>
          <w:szCs w:val="36"/>
          <w:lang w:eastAsia="zh-CN"/>
        </w:rPr>
        <w:t>“</w:t>
      </w:r>
      <w:r>
        <w:rPr>
          <w:rFonts w:hint="eastAsia" w:ascii="方正小标宋简体" w:hAnsi="方正小标宋简体" w:eastAsia="方正小标宋简体" w:cs="方正小标宋简体"/>
          <w:b w:val="0"/>
          <w:bCs w:val="0"/>
          <w:sz w:val="36"/>
          <w:szCs w:val="36"/>
        </w:rPr>
        <w:t>优质粮食工程”粮食质量安全检验监测体系项目后续财政补助资金</w:t>
      </w:r>
      <w:r>
        <w:rPr>
          <w:rFonts w:hint="eastAsia" w:ascii="方正小标宋简体" w:hAnsi="方正小标宋简体" w:eastAsia="方正小标宋简体" w:cs="方正小标宋简体"/>
          <w:b w:val="0"/>
          <w:bCs w:val="0"/>
          <w:sz w:val="36"/>
          <w:szCs w:val="36"/>
          <w:lang w:eastAsia="zh-CN"/>
        </w:rPr>
        <w:t>项目及购置重金属快检设备、检测辅助设备</w:t>
      </w:r>
      <w:r>
        <w:rPr>
          <w:rFonts w:hint="eastAsia" w:ascii="方正小标宋简体" w:hAnsi="方正小标宋简体" w:eastAsia="方正小标宋简体" w:cs="方正小标宋简体"/>
          <w:b w:val="0"/>
          <w:bCs w:val="0"/>
          <w:sz w:val="36"/>
          <w:szCs w:val="36"/>
        </w:rPr>
        <w:t>项目</w:t>
      </w:r>
      <w:r>
        <w:rPr>
          <w:rFonts w:hint="eastAsia" w:ascii="方正小标宋简体" w:hAnsi="方正小标宋简体" w:eastAsia="方正小标宋简体" w:cs="方正小标宋简体"/>
          <w:b w:val="0"/>
          <w:bCs w:val="0"/>
          <w:sz w:val="36"/>
          <w:szCs w:val="36"/>
        </w:rPr>
        <w:t>支出绩效报告</w:t>
      </w:r>
    </w:p>
    <w:bookmarkEnd w:id="0"/>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（一）项目基本情况简介，包括项目基本性质、用途和主要内容、涉及范围等。</w:t>
      </w:r>
    </w:p>
    <w:p>
      <w:pPr>
        <w:ind w:firstLine="594" w:firstLineChars="200"/>
        <w:rPr>
          <w:rFonts w:ascii="仿宋_GB2312"/>
          <w:szCs w:val="32"/>
        </w:rPr>
      </w:pPr>
      <w:r>
        <w:rPr>
          <w:rFonts w:hint="eastAsia" w:ascii="仿宋_GB2312"/>
          <w:szCs w:val="32"/>
        </w:rPr>
        <w:t>粮食质量安全是粮食安全的重要组成部分，实施粮食质量安全检验监测体系建设项目主要为我区“优质粮食工程”服务，更有利于提高绿色优质产品市场供给。</w:t>
      </w:r>
    </w:p>
    <w:p>
      <w:pPr>
        <w:numPr>
          <w:ilvl w:val="0"/>
          <w:numId w:val="1"/>
        </w:numPr>
        <w:topLinePunct/>
        <w:ind w:firstLine="594" w:firstLineChars="200"/>
        <w:rPr>
          <w:rFonts w:hint="eastAsia" w:ascii="仿宋_GB2312"/>
          <w:szCs w:val="32"/>
        </w:rPr>
      </w:pPr>
      <w:r>
        <w:rPr>
          <w:rFonts w:hint="eastAsia" w:ascii="仿宋_GB2312"/>
          <w:szCs w:val="32"/>
        </w:rPr>
        <w:t>绩效目标设定及指标完成情况。</w:t>
      </w:r>
    </w:p>
    <w:p>
      <w:pPr>
        <w:ind w:firstLine="594" w:firstLineChars="200"/>
        <w:rPr>
          <w:rFonts w:hint="eastAsia" w:ascii="仿宋_GB2312"/>
          <w:szCs w:val="32"/>
        </w:rPr>
      </w:pPr>
      <w:r>
        <w:rPr>
          <w:rFonts w:hint="eastAsia" w:ascii="仿宋_GB2312"/>
          <w:szCs w:val="32"/>
        </w:rPr>
        <w:t>粮食质量安全是粮食安全的重要组成部分，实施粮食质量安全检验监测体系建设项目主要为我区“优质粮食工程”服务，更有利于提高绿色优质产品市场供给。按市级招标采购，购置重金属快检设备、检测辅助设备</w:t>
      </w:r>
      <w:r>
        <w:rPr>
          <w:rFonts w:hint="eastAsia" w:ascii="仿宋_GB2312"/>
          <w:szCs w:val="32"/>
          <w:lang w:eastAsia="zh-CN"/>
        </w:rPr>
        <w:t>。</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项目资金（包括公共财政预算资金、政府性基金、财政专户资金、自筹资金等）安排落实、总投入等情况分析</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项目资金（主要是指财政</w:t>
      </w:r>
      <w:r>
        <w:rPr>
          <w:rFonts w:hint="eastAsia" w:ascii="仿宋_GB2312" w:hAnsi="仿宋_GB2312" w:cs="仿宋_GB2312"/>
          <w:szCs w:val="32"/>
          <w:lang w:eastAsia="zh-CN"/>
        </w:rPr>
        <w:t>拨款</w:t>
      </w:r>
      <w:r>
        <w:rPr>
          <w:rFonts w:hint="eastAsia" w:ascii="仿宋_GB2312" w:hAnsi="仿宋_GB2312" w:eastAsia="仿宋_GB2312" w:cs="仿宋_GB2312"/>
          <w:szCs w:val="32"/>
        </w:rPr>
        <w:t>）实际使用情况分析。</w:t>
      </w:r>
      <w:r>
        <w:rPr>
          <w:rFonts w:hint="eastAsia" w:ascii="仿宋_GB2312" w:hAnsi="仿宋_GB2312" w:cs="仿宋_GB2312"/>
          <w:szCs w:val="32"/>
          <w:lang w:eastAsia="zh-CN"/>
        </w:rPr>
        <w:t>项目资金管理情况（包括管理制度、办法的制订及执行情况）分析。</w:t>
      </w:r>
    </w:p>
    <w:p>
      <w:pPr>
        <w:ind w:firstLine="594" w:firstLineChars="200"/>
        <w:outlineLvl w:val="0"/>
        <w:rPr>
          <w:rFonts w:hint="eastAsia" w:ascii="仿宋_GB2312" w:hAnsi="仿宋_GB2312" w:cs="仿宋_GB2312"/>
          <w:szCs w:val="32"/>
          <w:lang w:eastAsia="zh-CN"/>
        </w:rPr>
      </w:pPr>
      <w:r>
        <w:rPr>
          <w:rFonts w:hint="eastAsia" w:ascii="仿宋_GB2312"/>
          <w:szCs w:val="32"/>
          <w:highlight w:val="none"/>
          <w:lang w:eastAsia="zh-CN"/>
        </w:rPr>
        <w:t>“优质粮食工程”粮食质量安全检验监测体系项目后续财政补助资金项目及购置重金属快检设备、检测辅助设备项目支出</w:t>
      </w:r>
      <w:r>
        <w:rPr>
          <w:rFonts w:hint="eastAsia" w:ascii="仿宋_GB2312"/>
          <w:szCs w:val="32"/>
          <w:highlight w:val="none"/>
          <w:lang w:val="en-US" w:eastAsia="zh-CN"/>
        </w:rPr>
        <w:t>477950元，中央</w:t>
      </w:r>
      <w:r>
        <w:rPr>
          <w:rFonts w:hint="eastAsia" w:ascii="仿宋_GB2312"/>
          <w:szCs w:val="32"/>
          <w:highlight w:val="none"/>
          <w:lang w:eastAsia="zh-CN"/>
        </w:rPr>
        <w:t>财政资金及时到位，到位率</w:t>
      </w:r>
      <w:r>
        <w:rPr>
          <w:rFonts w:hint="eastAsia" w:ascii="仿宋_GB2312"/>
          <w:szCs w:val="32"/>
          <w:highlight w:val="none"/>
          <w:lang w:val="en-US" w:eastAsia="zh-CN"/>
        </w:rPr>
        <w:t>100%，</w:t>
      </w:r>
      <w:r>
        <w:rPr>
          <w:rFonts w:hint="eastAsia" w:ascii="仿宋_GB2312" w:hAnsi="宋体" w:cs="宋体"/>
          <w:kern w:val="0"/>
          <w:sz w:val="32"/>
          <w:szCs w:val="32"/>
        </w:rPr>
        <w:t>支出依据合规，无虚列项目支出情况</w:t>
      </w:r>
      <w:r>
        <w:rPr>
          <w:rFonts w:hint="eastAsia" w:ascii="仿宋_GB2312" w:hAnsi="宋体" w:cs="宋体"/>
          <w:kern w:val="0"/>
          <w:sz w:val="32"/>
          <w:szCs w:val="32"/>
          <w:lang w:eastAsia="zh-CN"/>
        </w:rPr>
        <w:t>，</w:t>
      </w:r>
      <w:r>
        <w:rPr>
          <w:rFonts w:hint="eastAsia" w:ascii="仿宋_GB2312" w:hAnsi="宋体" w:cs="宋体"/>
          <w:kern w:val="0"/>
          <w:sz w:val="32"/>
          <w:szCs w:val="32"/>
        </w:rPr>
        <w:t>无截留挤占挪用情况</w:t>
      </w:r>
      <w:r>
        <w:rPr>
          <w:rFonts w:hint="eastAsia" w:ascii="仿宋_GB2312" w:hAnsi="宋体" w:cs="宋体"/>
          <w:kern w:val="0"/>
          <w:sz w:val="32"/>
          <w:szCs w:val="32"/>
          <w:lang w:eastAsia="zh-CN"/>
        </w:rPr>
        <w:t>，</w:t>
      </w:r>
      <w:r>
        <w:rPr>
          <w:rFonts w:hint="eastAsia" w:ascii="仿宋_GB2312" w:hAnsi="宋体" w:cs="宋体"/>
          <w:kern w:val="0"/>
          <w:sz w:val="32"/>
          <w:szCs w:val="32"/>
        </w:rPr>
        <w:t>无超标准开支情况</w:t>
      </w:r>
      <w:r>
        <w:rPr>
          <w:rFonts w:hint="eastAsia" w:ascii="仿宋_GB2312" w:hAnsi="宋体" w:cs="宋体"/>
          <w:kern w:val="0"/>
          <w:sz w:val="32"/>
          <w:szCs w:val="32"/>
          <w:lang w:eastAsia="zh-CN"/>
        </w:rPr>
        <w:t>，</w:t>
      </w:r>
      <w:r>
        <w:rPr>
          <w:rFonts w:hint="eastAsia" w:ascii="仿宋_GB2312" w:hAnsi="宋体" w:cs="宋体"/>
          <w:kern w:val="0"/>
          <w:sz w:val="32"/>
          <w:szCs w:val="32"/>
        </w:rPr>
        <w:t>无超预算情况</w:t>
      </w:r>
      <w:r>
        <w:rPr>
          <w:rFonts w:hint="eastAsia" w:ascii="仿宋_GB2312" w:hAnsi="宋体" w:cs="宋体"/>
          <w:kern w:val="0"/>
          <w:sz w:val="32"/>
          <w:szCs w:val="32"/>
          <w:lang w:eastAsia="zh-CN"/>
        </w:rPr>
        <w:t>，</w:t>
      </w:r>
      <w:r>
        <w:rPr>
          <w:rFonts w:hint="eastAsia" w:ascii="仿宋_GB2312"/>
          <w:szCs w:val="32"/>
          <w:highlight w:val="none"/>
          <w:lang w:eastAsia="zh-CN"/>
        </w:rPr>
        <w:t>项目资金根据预算支付，项目资金实施绩效管理，</w:t>
      </w:r>
      <w:r>
        <w:rPr>
          <w:rFonts w:hint="eastAsia" w:ascii="仿宋_GB2312" w:hAnsi="宋体" w:cs="宋体"/>
          <w:kern w:val="0"/>
          <w:sz w:val="32"/>
          <w:szCs w:val="32"/>
        </w:rPr>
        <w:t>资金管理、费用支出等制度健全</w:t>
      </w:r>
      <w:r>
        <w:rPr>
          <w:rFonts w:hint="eastAsia" w:ascii="仿宋_GB2312" w:hAnsi="宋体" w:cs="宋体"/>
          <w:kern w:val="0"/>
          <w:sz w:val="32"/>
          <w:szCs w:val="32"/>
          <w:lang w:eastAsia="zh-CN"/>
        </w:rPr>
        <w:t>，</w:t>
      </w:r>
      <w:r>
        <w:rPr>
          <w:rFonts w:hint="eastAsia" w:ascii="仿宋_GB2312" w:hAnsi="宋体" w:cs="宋体"/>
          <w:kern w:val="0"/>
          <w:sz w:val="32"/>
          <w:szCs w:val="32"/>
        </w:rPr>
        <w:t>制度执行严格</w:t>
      </w:r>
      <w:r>
        <w:rPr>
          <w:rFonts w:hint="eastAsia" w:ascii="仿宋_GB2312" w:hAnsi="宋体" w:cs="宋体"/>
          <w:kern w:val="0"/>
          <w:sz w:val="32"/>
          <w:szCs w:val="32"/>
          <w:lang w:eastAsia="zh-CN"/>
        </w:rPr>
        <w:t>，</w:t>
      </w:r>
      <w:r>
        <w:rPr>
          <w:rFonts w:hint="eastAsia" w:ascii="仿宋_GB2312" w:hAnsi="宋体" w:cs="宋体"/>
          <w:kern w:val="0"/>
          <w:sz w:val="32"/>
          <w:szCs w:val="32"/>
        </w:rPr>
        <w:t>会计核算规范</w:t>
      </w:r>
      <w:r>
        <w:rPr>
          <w:rFonts w:hint="eastAsia" w:ascii="仿宋_GB2312" w:hAnsi="宋体" w:cs="宋体"/>
          <w:kern w:val="0"/>
          <w:sz w:val="32"/>
          <w:szCs w:val="32"/>
          <w:lang w:eastAsia="zh-CN"/>
        </w:rPr>
        <w:t>。</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项目组织情况分析，主要包括项目前期准备、招投标、调整、竣工验收等情况。项目管理情况分析，主要包括项目管理制度、办法的制订、日常检查监督管理等情况。</w:t>
      </w:r>
    </w:p>
    <w:p>
      <w:pPr>
        <w:topLinePunct/>
        <w:ind w:firstLine="594" w:firstLineChars="200"/>
        <w:rPr>
          <w:rFonts w:hint="eastAsia" w:ascii="仿宋_GB2312" w:hAnsi="仿宋_GB2312" w:eastAsia="仿宋_GB2312" w:cs="仿宋_GB2312"/>
          <w:szCs w:val="32"/>
        </w:rPr>
      </w:pPr>
      <w:r>
        <w:rPr>
          <w:rFonts w:hint="eastAsia" w:ascii="仿宋_GB2312" w:hAnsi="宋体" w:cs="宋体"/>
          <w:kern w:val="0"/>
          <w:szCs w:val="32"/>
        </w:rPr>
        <w:t>成立昆明市呈贡区发展和改革局绩效评价工作小组组织实施，机构健全、分工明确，项目按计划开工，按计划进度开展，按计划完工，项目管理制度健全，严格执行相关管理制度。</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ind w:firstLine="594" w:firstLineChars="200"/>
        <w:outlineLvl w:val="0"/>
        <w:rPr>
          <w:rFonts w:hint="eastAsia" w:ascii="仿宋_GB2312" w:eastAsia="仿宋_GB2312"/>
          <w:szCs w:val="32"/>
          <w:lang w:eastAsia="zh-CN"/>
        </w:rPr>
      </w:pPr>
      <w:r>
        <w:rPr>
          <w:rFonts w:hint="eastAsia" w:ascii="仿宋_GB2312"/>
          <w:szCs w:val="32"/>
        </w:rPr>
        <w:t>项目成本（预算）</w:t>
      </w:r>
      <w:r>
        <w:rPr>
          <w:rFonts w:hint="eastAsia" w:ascii="仿宋_GB2312"/>
          <w:szCs w:val="32"/>
          <w:lang w:eastAsia="zh-CN"/>
        </w:rPr>
        <w:t>有效控制，</w:t>
      </w:r>
      <w:r>
        <w:rPr>
          <w:rFonts w:hint="eastAsia" w:ascii="仿宋_GB2312"/>
          <w:szCs w:val="32"/>
          <w:highlight w:val="none"/>
          <w:lang w:eastAsia="zh-CN"/>
        </w:rPr>
        <w:t>实施绩效管理，</w:t>
      </w:r>
      <w:r>
        <w:rPr>
          <w:rFonts w:hint="eastAsia" w:ascii="仿宋_GB2312"/>
          <w:szCs w:val="32"/>
          <w:lang w:eastAsia="zh-CN"/>
        </w:rPr>
        <w:t>专款专用，</w:t>
      </w:r>
      <w:r>
        <w:rPr>
          <w:rFonts w:hint="eastAsia" w:ascii="仿宋_GB2312" w:hAnsi="宋体" w:cs="宋体"/>
          <w:kern w:val="0"/>
          <w:sz w:val="32"/>
          <w:szCs w:val="32"/>
        </w:rPr>
        <w:t>资金管理、费用支出等制度健全</w:t>
      </w:r>
      <w:r>
        <w:rPr>
          <w:rFonts w:hint="eastAsia" w:ascii="仿宋_GB2312" w:hAnsi="宋体" w:cs="宋体"/>
          <w:kern w:val="0"/>
          <w:sz w:val="32"/>
          <w:szCs w:val="32"/>
          <w:lang w:eastAsia="zh-CN"/>
        </w:rPr>
        <w:t>，</w:t>
      </w:r>
      <w:r>
        <w:rPr>
          <w:rFonts w:hint="eastAsia" w:ascii="仿宋_GB2312" w:hAnsi="宋体" w:cs="宋体"/>
          <w:kern w:val="0"/>
          <w:sz w:val="32"/>
          <w:szCs w:val="32"/>
        </w:rPr>
        <w:t>制度执行严格</w:t>
      </w:r>
      <w:r>
        <w:rPr>
          <w:rFonts w:hint="eastAsia" w:ascii="仿宋_GB2312" w:hAnsi="宋体" w:cs="宋体"/>
          <w:kern w:val="0"/>
          <w:sz w:val="32"/>
          <w:szCs w:val="32"/>
          <w:lang w:eastAsia="zh-CN"/>
        </w:rPr>
        <w:t>，</w:t>
      </w:r>
      <w:r>
        <w:rPr>
          <w:rFonts w:hint="eastAsia" w:ascii="仿宋_GB2312" w:hAnsi="宋体" w:cs="宋体"/>
          <w:kern w:val="0"/>
          <w:sz w:val="32"/>
          <w:szCs w:val="32"/>
        </w:rPr>
        <w:t>会计核算规范</w:t>
      </w:r>
      <w:r>
        <w:rPr>
          <w:rFonts w:hint="eastAsia" w:ascii="仿宋_GB2312" w:hAnsi="宋体" w:cs="宋体"/>
          <w:kern w:val="0"/>
          <w:sz w:val="32"/>
          <w:szCs w:val="32"/>
          <w:lang w:eastAsia="zh-CN"/>
        </w:rPr>
        <w:t>，</w:t>
      </w:r>
      <w:r>
        <w:rPr>
          <w:rFonts w:hint="eastAsia" w:ascii="仿宋_GB2312" w:hAnsi="宋体" w:cs="宋体"/>
          <w:kern w:val="0"/>
          <w:sz w:val="32"/>
          <w:szCs w:val="32"/>
        </w:rPr>
        <w:t>项目按计划开工</w:t>
      </w:r>
      <w:r>
        <w:rPr>
          <w:rFonts w:hint="eastAsia" w:ascii="仿宋_GB2312" w:hAnsi="宋体" w:cs="宋体"/>
          <w:kern w:val="0"/>
          <w:sz w:val="32"/>
          <w:szCs w:val="32"/>
          <w:lang w:eastAsia="zh-CN"/>
        </w:rPr>
        <w:t>，</w:t>
      </w:r>
      <w:r>
        <w:rPr>
          <w:rFonts w:hint="eastAsia" w:ascii="仿宋_GB2312" w:hAnsi="宋体" w:cs="宋体"/>
          <w:kern w:val="0"/>
          <w:sz w:val="32"/>
          <w:szCs w:val="32"/>
        </w:rPr>
        <w:t>按计划进度开展</w:t>
      </w:r>
      <w:r>
        <w:rPr>
          <w:rFonts w:hint="eastAsia" w:ascii="仿宋_GB2312" w:hAnsi="宋体" w:cs="宋体"/>
          <w:kern w:val="0"/>
          <w:sz w:val="32"/>
          <w:szCs w:val="32"/>
          <w:lang w:eastAsia="zh-CN"/>
        </w:rPr>
        <w:t>，</w:t>
      </w:r>
      <w:r>
        <w:rPr>
          <w:rFonts w:hint="eastAsia" w:ascii="仿宋_GB2312" w:hAnsi="宋体" w:cs="宋体"/>
          <w:kern w:val="0"/>
          <w:sz w:val="32"/>
          <w:szCs w:val="32"/>
        </w:rPr>
        <w:t>按计划完工</w:t>
      </w:r>
      <w:r>
        <w:rPr>
          <w:rFonts w:hint="eastAsia" w:ascii="仿宋_GB2312" w:hAnsi="宋体" w:cs="宋体"/>
          <w:kern w:val="0"/>
          <w:sz w:val="32"/>
          <w:szCs w:val="32"/>
          <w:lang w:eastAsia="zh-CN"/>
        </w:rPr>
        <w:t>，</w:t>
      </w:r>
      <w:r>
        <w:rPr>
          <w:rFonts w:hint="eastAsia" w:ascii="仿宋_GB2312"/>
          <w:szCs w:val="32"/>
          <w:lang w:eastAsia="zh-CN"/>
        </w:rPr>
        <w:t>达到预期目标，</w:t>
      </w:r>
    </w:p>
    <w:p>
      <w:pPr>
        <w:outlineLvl w:val="0"/>
        <w:rPr>
          <w:rFonts w:hint="eastAsia" w:ascii="仿宋_GB2312"/>
          <w:szCs w:val="32"/>
        </w:rPr>
      </w:pPr>
      <w:r>
        <w:rPr>
          <w:rFonts w:hint="eastAsia" w:ascii="仿宋_GB2312"/>
          <w:szCs w:val="32"/>
        </w:rPr>
        <w:t>项目预期目标完成程度</w:t>
      </w:r>
      <w:r>
        <w:rPr>
          <w:rFonts w:hint="eastAsia" w:ascii="仿宋_GB2312"/>
          <w:szCs w:val="32"/>
          <w:lang w:val="en-US" w:eastAsia="zh-CN"/>
        </w:rPr>
        <w:t>100%，</w:t>
      </w:r>
      <w:r>
        <w:rPr>
          <w:rFonts w:hint="eastAsia" w:ascii="仿宋_GB2312"/>
          <w:b w:val="0"/>
          <w:bCs/>
          <w:szCs w:val="32"/>
          <w:highlight w:val="none"/>
          <w:lang w:val="en-US" w:eastAsia="zh-CN"/>
        </w:rPr>
        <w:t>社会服务能力得到提升，收益对象满意度100%。</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szCs w:val="32"/>
        </w:rPr>
      </w:pPr>
      <w:r>
        <w:rPr>
          <w:rFonts w:hint="eastAsia" w:ascii="仿宋_GB2312"/>
          <w:szCs w:val="32"/>
        </w:rPr>
        <w:t>（一）专项管理方面的问题。专项立项依据是否充分；是否有资金管理办法，资金管理办法是否规范等。</w:t>
      </w:r>
    </w:p>
    <w:p>
      <w:pPr>
        <w:topLinePunct/>
        <w:ind w:firstLine="594" w:firstLineChars="200"/>
        <w:rPr>
          <w:rFonts w:hint="eastAsia" w:ascii="仿宋_GB2312" w:eastAsia="仿宋_GB2312"/>
          <w:szCs w:val="32"/>
          <w:lang w:eastAsia="zh-CN"/>
        </w:rPr>
      </w:pPr>
      <w:r>
        <w:rPr>
          <w:rFonts w:hint="eastAsia" w:ascii="仿宋_GB2312"/>
          <w:szCs w:val="32"/>
          <w:lang w:eastAsia="zh-CN"/>
        </w:rPr>
        <w:t>无。</w:t>
      </w:r>
    </w:p>
    <w:p>
      <w:pPr>
        <w:numPr>
          <w:ilvl w:val="0"/>
          <w:numId w:val="0"/>
        </w:numPr>
        <w:topLinePunct/>
        <w:ind w:firstLine="594" w:firstLineChars="200"/>
        <w:rPr>
          <w:rFonts w:hint="eastAsia" w:ascii="仿宋_GB2312"/>
          <w:szCs w:val="32"/>
        </w:rPr>
      </w:pPr>
      <w:r>
        <w:rPr>
          <w:rFonts w:hint="eastAsia" w:ascii="仿宋_GB2312"/>
          <w:szCs w:val="32"/>
          <w:lang w:eastAsia="zh-CN"/>
        </w:rPr>
        <w:t>（二）</w:t>
      </w:r>
      <w:r>
        <w:rPr>
          <w:rFonts w:hint="eastAsia" w:ascii="仿宋_GB2312"/>
          <w:szCs w:val="32"/>
        </w:rPr>
        <w:t>资金分配方面的问题。资金分配是否合理，突出重点，公平公正；有无散小差现象；资金分配和使用方向是否与资金管理办法相符等。</w:t>
      </w:r>
    </w:p>
    <w:p>
      <w:pPr>
        <w:numPr>
          <w:ilvl w:val="0"/>
          <w:numId w:val="0"/>
        </w:numPr>
        <w:topLinePunct/>
        <w:ind w:leftChars="200"/>
        <w:rPr>
          <w:rFonts w:hint="eastAsia" w:ascii="仿宋_GB2312" w:eastAsia="仿宋_GB2312"/>
          <w:szCs w:val="32"/>
          <w:lang w:eastAsia="zh-CN"/>
        </w:rPr>
      </w:pPr>
      <w:r>
        <w:rPr>
          <w:rFonts w:hint="eastAsia" w:ascii="仿宋_GB2312"/>
          <w:szCs w:val="32"/>
          <w:lang w:eastAsia="zh-CN"/>
        </w:rPr>
        <w:t>无。</w:t>
      </w:r>
    </w:p>
    <w:p>
      <w:pPr>
        <w:numPr>
          <w:ilvl w:val="0"/>
          <w:numId w:val="1"/>
        </w:numPr>
        <w:topLinePunct/>
        <w:ind w:left="0" w:leftChars="0" w:firstLine="594" w:firstLineChars="200"/>
        <w:rPr>
          <w:rFonts w:hint="eastAsia" w:ascii="仿宋_GB2312"/>
          <w:szCs w:val="32"/>
        </w:rPr>
      </w:pPr>
      <w:r>
        <w:rPr>
          <w:rFonts w:hint="eastAsia" w:ascii="仿宋_GB2312"/>
          <w:szCs w:val="32"/>
        </w:rPr>
        <w:t>资金拨付方面的问题。拨付是否及时，有无滞留、闲置等现象。</w:t>
      </w:r>
    </w:p>
    <w:p>
      <w:pPr>
        <w:numPr>
          <w:ilvl w:val="0"/>
          <w:numId w:val="0"/>
        </w:numPr>
        <w:topLinePunct/>
        <w:ind w:leftChars="200"/>
        <w:rPr>
          <w:rFonts w:hint="eastAsia" w:ascii="仿宋_GB2312" w:eastAsia="仿宋_GB2312"/>
          <w:szCs w:val="32"/>
          <w:lang w:eastAsia="zh-CN"/>
        </w:rPr>
      </w:pPr>
      <w:r>
        <w:rPr>
          <w:rFonts w:hint="eastAsia" w:ascii="仿宋_GB2312"/>
          <w:szCs w:val="32"/>
          <w:lang w:eastAsia="zh-CN"/>
        </w:rPr>
        <w:t>无。</w:t>
      </w:r>
    </w:p>
    <w:p>
      <w:pPr>
        <w:numPr>
          <w:ilvl w:val="0"/>
          <w:numId w:val="1"/>
        </w:numPr>
        <w:topLinePunct/>
        <w:ind w:left="0" w:leftChars="0" w:firstLine="594" w:firstLineChars="200"/>
        <w:rPr>
          <w:rFonts w:hint="eastAsia" w:ascii="仿宋_GB2312"/>
          <w:szCs w:val="32"/>
        </w:rPr>
      </w:pPr>
      <w:r>
        <w:rPr>
          <w:rFonts w:hint="eastAsia" w:ascii="仿宋_GB2312"/>
          <w:szCs w:val="32"/>
        </w:rPr>
        <w:t>资金使用方面的问题。资金使用是否合规，有无截留、挪用等现象，资金使用是否产生效益等。</w:t>
      </w:r>
    </w:p>
    <w:p>
      <w:pPr>
        <w:numPr>
          <w:ilvl w:val="0"/>
          <w:numId w:val="0"/>
        </w:numPr>
        <w:topLinePunct/>
        <w:ind w:leftChars="200"/>
        <w:rPr>
          <w:rFonts w:hint="eastAsia" w:ascii="仿宋_GB2312" w:eastAsia="仿宋_GB2312"/>
          <w:szCs w:val="32"/>
          <w:lang w:eastAsia="zh-CN"/>
        </w:rPr>
      </w:pPr>
      <w:r>
        <w:rPr>
          <w:rFonts w:hint="eastAsia" w:ascii="仿宋_GB2312"/>
          <w:szCs w:val="32"/>
          <w:lang w:eastAsia="zh-CN"/>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仿宋_GB2312"/>
          <w:szCs w:val="32"/>
        </w:rPr>
      </w:pPr>
      <w:r>
        <w:rPr>
          <w:rFonts w:hint="eastAsia" w:ascii="仿宋_GB2312"/>
          <w:szCs w:val="32"/>
        </w:rPr>
        <w:t>（一）后续工作计划。</w:t>
      </w:r>
    </w:p>
    <w:p>
      <w:pPr>
        <w:topLinePunct/>
        <w:ind w:firstLine="594" w:firstLineChars="200"/>
        <w:rPr>
          <w:rFonts w:hint="eastAsia" w:ascii="仿宋_GB2312"/>
          <w:szCs w:val="32"/>
        </w:rPr>
      </w:pPr>
      <w:r>
        <w:rPr>
          <w:rFonts w:hint="eastAsia" w:ascii="仿宋_GB2312"/>
          <w:szCs w:val="32"/>
        </w:rPr>
        <w:t>严格按照相关管理制度开展绩效工作。</w:t>
      </w:r>
    </w:p>
    <w:p>
      <w:pPr>
        <w:topLinePunct/>
        <w:ind w:firstLine="594" w:firstLineChars="200"/>
        <w:rPr>
          <w:rFonts w:ascii="仿宋_GB2312"/>
          <w:szCs w:val="32"/>
        </w:rPr>
      </w:pPr>
      <w:r>
        <w:rPr>
          <w:rFonts w:hint="eastAsia" w:ascii="仿宋_GB2312"/>
          <w:szCs w:val="32"/>
        </w:rPr>
        <w:t>（二）主要经验做法、改进措施和有关建议等。</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F94BA9"/>
    <w:multiLevelType w:val="singleLevel"/>
    <w:tmpl w:val="9AF94BA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10121923"/>
    <w:rsid w:val="2A3500A0"/>
    <w:rsid w:val="378A5996"/>
    <w:rsid w:val="41AC5E51"/>
    <w:rsid w:val="5A3C6978"/>
    <w:rsid w:val="62FB3444"/>
    <w:rsid w:val="67600811"/>
    <w:rsid w:val="6E444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云南</cp:lastModifiedBy>
  <dcterms:modified xsi:type="dcterms:W3CDTF">2020-04-07T06:03:32Z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