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adjustRightInd/>
        <w:spacing w:before="312" w:after="312"/>
        <w:ind w:firstLine="0" w:firstLineChars="0"/>
        <w:rPr>
          <w:rFonts w:hint="eastAsia" w:eastAsia="黑体"/>
          <w:bCs/>
          <w:color w:val="auto"/>
          <w:highlight w:val="none"/>
          <w:lang w:eastAsia="zh-CN"/>
        </w:rPr>
      </w:pPr>
      <w:r>
        <w:rPr>
          <w:bCs/>
          <w:color w:val="auto"/>
          <w:highlight w:val="none"/>
        </w:rPr>
        <w:t>9</w:t>
      </w:r>
      <w:r>
        <w:rPr>
          <w:rFonts w:hint="eastAsia"/>
          <w:bCs/>
          <w:color w:val="auto"/>
          <w:highlight w:val="none"/>
        </w:rPr>
        <w:t>　信用评价</w:t>
      </w:r>
      <w:r>
        <w:rPr>
          <w:rFonts w:hint="eastAsia"/>
          <w:bCs/>
          <w:color w:val="auto"/>
          <w:highlight w:val="none"/>
          <w:lang w:eastAsia="zh-CN"/>
        </w:rPr>
        <w:t>类</w:t>
      </w:r>
    </w:p>
    <w:p>
      <w:pPr>
        <w:pStyle w:val="20"/>
        <w:adjustRightInd/>
        <w:snapToGrid/>
        <w:spacing w:before="312" w:after="31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9.1</w:t>
      </w:r>
      <w:r>
        <w:rPr>
          <w:color w:val="auto"/>
          <w:highlight w:val="none"/>
        </w:rPr>
        <w:t>—</w:t>
      </w:r>
      <w:r>
        <w:rPr>
          <w:rFonts w:hint="eastAsia"/>
          <w:color w:val="auto"/>
          <w:highlight w:val="none"/>
        </w:rPr>
        <w:t>1</w:t>
      </w:r>
      <w:r>
        <w:rPr>
          <w:rFonts w:hint="eastAsia"/>
          <w:color w:val="auto"/>
          <w:highlight w:val="none"/>
          <w:lang w:val="en-US" w:eastAsia="zh-CN"/>
        </w:rPr>
        <w:t>44</w:t>
      </w:r>
      <w:r>
        <w:rPr>
          <w:rFonts w:hint="eastAsia"/>
          <w:color w:val="auto"/>
          <w:highlight w:val="none"/>
        </w:rPr>
        <w:t>　纳税信用补评</w:t>
      </w:r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【事项名称】</w:t>
      </w:r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纳税信用补评</w:t>
      </w:r>
    </w:p>
    <w:p>
      <w:pPr>
        <w:spacing w:line="360" w:lineRule="auto"/>
        <w:ind w:firstLine="480" w:firstLineChars="200"/>
        <w:rPr>
          <w:rFonts w:ascii="黑体" w:hAnsi="黑体" w:eastAsia="黑体"/>
          <w:color w:val="auto"/>
          <w:sz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highlight w:val="none"/>
        </w:rPr>
        <w:t>【</w:t>
      </w:r>
      <w:r>
        <w:rPr>
          <w:rFonts w:hint="eastAsia" w:ascii="黑体" w:hAnsi="黑体" w:eastAsia="黑体"/>
          <w:color w:val="auto"/>
          <w:sz w:val="24"/>
          <w:highlight w:val="none"/>
          <w:lang w:eastAsia="zh-CN"/>
        </w:rPr>
        <w:t>申请条件</w:t>
      </w:r>
      <w:r>
        <w:rPr>
          <w:rFonts w:hint="eastAsia" w:ascii="黑体" w:hAnsi="黑体" w:eastAsia="黑体"/>
          <w:color w:val="auto"/>
          <w:sz w:val="24"/>
          <w:highlight w:val="none"/>
        </w:rPr>
        <w:t>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纳税人因涉嫌税收违法被立案查处尚未结案；被审计、财政部门依法查出税收违法行为，税务机关正在依法处理，尚未办结；已申请税务行政复议、提起行政诉讼尚未结案等原因未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/>
        </w:rPr>
        <w:t>予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纳税信用评价，可待上述情形解除后，向主管税务机关申请补充评价。纳税人对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当期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未予纳税信用评价有异议，也可向主管税务机关申请补充评价。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【设定依据】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《国家税务总局关于发布〈纳税信用管理办法（试行）〉的公告》（国家税务总局公告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2014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年第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40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号）第二十五条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《国家税务总局关于明确纳税信用补评和复评事项的公告》（国家税务总局公告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2015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年第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46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号）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  <w:lang w:eastAsia="zh-CN"/>
        </w:rPr>
        <w:t>【办理材料】</w:t>
      </w:r>
    </w:p>
    <w:tbl>
      <w:tblPr>
        <w:tblStyle w:val="10"/>
        <w:tblW w:w="8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535"/>
        <w:gridCol w:w="68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  <w:t>材料名称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  <w:hidden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aps w:val="0"/>
                <w:smallCaps w:val="0"/>
                <w:strike w:val="0"/>
                <w:dstrike w:val="0"/>
                <w:vanish w:val="0"/>
                <w:color w:val="auto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Times New Roman"/>
                <w:bCs/>
                <w:color w:val="auto"/>
                <w:sz w:val="18"/>
                <w:szCs w:val="18"/>
                <w:highlight w:val="none"/>
              </w:rPr>
              <w:t>《纳税信用补评申请表》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bCs/>
                <w:caps w:val="0"/>
                <w:smallCaps w:val="0"/>
                <w:strike w:val="0"/>
                <w:dstrike w:val="0"/>
                <w:vanish w:val="0"/>
                <w:color w:val="auto"/>
                <w:sz w:val="18"/>
                <w:szCs w:val="18"/>
                <w:highlight w:val="none"/>
                <w:lang w:eastAsia="zh-CN"/>
              </w:rPr>
              <w:t>2</w:t>
            </w:r>
            <w:r>
              <w:rPr>
                <w:rFonts w:ascii="黑体" w:hAnsi="黑体" w:eastAsia="黑体" w:cs="Times New Roman"/>
                <w:bCs/>
                <w:color w:val="auto"/>
                <w:sz w:val="18"/>
                <w:szCs w:val="18"/>
                <w:highlight w:val="none"/>
              </w:rPr>
              <w:t>份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【办理地点】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可通过办税服务厅（场所）、电子税务局</w:t>
      </w:r>
      <w:r>
        <w:rPr>
          <w:rFonts w:hint="eastAsia" w:ascii="宋体" w:hAnsi="宋体" w:eastAsia="宋体" w:cstheme="minorBidi"/>
          <w:bCs w:val="0"/>
          <w:highlight w:val="none"/>
          <w:lang w:eastAsia="zh-CN"/>
        </w:rPr>
        <w:t>（http://etax.yunnan.chinatax.gov.cn）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办理，具体网址可从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云南省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税务局网站“纳税服务”栏目查询。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【办理机构】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主管税务机关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【收费标准】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不收费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【办理时间】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应自受理之日起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15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个工作日内办结。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【联系电话】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主管税务机关对外公开的联系电话，可从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云南省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税务局网站“纳税服务”栏目查询。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【办理流程】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drawing>
          <wp:inline distT="0" distB="0" distL="114300" distR="114300">
            <wp:extent cx="5184140" cy="1769745"/>
            <wp:effectExtent l="0" t="0" r="16510" b="1905"/>
            <wp:docPr id="124" name="图片 124" descr="C:\Users\baoqianyu\Desktop\流程图\流转\纳税人.png纳税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C:\Users\baoqianyu\Desktop\流程图\流转\纳税人.png纳税人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【纳税人注意事项】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纳税人对报送材料的真实性和合法性承担责任。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纳税人使用符合电子签名法规定条件的电子签名，与手写签名或者盖章具有同等法律效力。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3.文书表单可在云南省税务局网站“下载中心”栏目查询下载或到办税服务厅领取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。</w:t>
      </w:r>
    </w:p>
    <w:p>
      <w:pPr>
        <w:pStyle w:val="15"/>
        <w:adjustRightInd/>
        <w:snapToGrid/>
        <w:rPr>
          <w:color w:val="auto"/>
          <w:highlight w:val="none"/>
        </w:rPr>
      </w:pPr>
    </w:p>
    <w:p>
      <w:pPr>
        <w:pStyle w:val="15"/>
        <w:adjustRightInd/>
        <w:snapToGrid/>
        <w:rPr>
          <w:color w:val="auto"/>
          <w:highlight w:val="none"/>
        </w:rPr>
      </w:pPr>
      <w:bookmarkStart w:id="0" w:name="_GoBack"/>
      <w:bookmarkEnd w:id="0"/>
    </w:p>
    <w:p>
      <w:pPr>
        <w:keepNext/>
        <w:topLinePunct/>
        <w:spacing w:afterLines="125" w:line="360" w:lineRule="auto"/>
        <w:ind w:firstLine="510"/>
        <w:outlineLvl w:val="2"/>
        <w:rPr>
          <w:rFonts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</w:rPr>
      </w:pPr>
      <w:r>
        <w:rPr>
          <w:rFonts w:hint="eastAsia"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</w:rPr>
        <w:t>9.2</w:t>
      </w:r>
      <w:r>
        <w:rPr>
          <w:rFonts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</w:rPr>
        <w:t>—</w:t>
      </w:r>
      <w:r>
        <w:rPr>
          <w:rFonts w:hint="eastAsia"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</w:rPr>
        <w:t>1</w:t>
      </w:r>
      <w:r>
        <w:rPr>
          <w:rFonts w:hint="eastAsia"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  <w:lang w:val="en-US" w:eastAsia="zh-CN"/>
        </w:rPr>
        <w:t>45</w:t>
      </w:r>
      <w:r>
        <w:rPr>
          <w:rFonts w:hint="eastAsia" w:ascii="Times New Roman" w:hAnsi="Times New Roman" w:eastAsia="黑体"/>
          <w:b/>
          <w:bCs/>
          <w:color w:val="auto"/>
          <w:kern w:val="24"/>
          <w:sz w:val="28"/>
          <w:szCs w:val="28"/>
          <w:highlight w:val="none"/>
        </w:rPr>
        <w:t>　纳税信用复评</w:t>
      </w:r>
    </w:p>
    <w:p>
      <w:pPr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【事项名称】</w:t>
      </w:r>
    </w:p>
    <w:p>
      <w:pPr>
        <w:pStyle w:val="22"/>
        <w:adjustRightInd/>
        <w:snapToGrid/>
        <w:ind w:firstLine="480"/>
        <w:rPr>
          <w:b w:val="0"/>
          <w:color w:val="auto"/>
          <w:highlight w:val="none"/>
        </w:rPr>
      </w:pPr>
      <w:r>
        <w:rPr>
          <w:rFonts w:hint="eastAsia"/>
          <w:b w:val="0"/>
          <w:color w:val="auto"/>
          <w:highlight w:val="none"/>
        </w:rPr>
        <w:t>纳税信用复评</w:t>
      </w:r>
    </w:p>
    <w:p>
      <w:pPr>
        <w:spacing w:line="360" w:lineRule="auto"/>
        <w:ind w:firstLine="480" w:firstLineChars="200"/>
        <w:rPr>
          <w:rFonts w:ascii="黑体" w:hAnsi="黑体" w:eastAsia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【</w:t>
      </w: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  <w:lang w:eastAsia="zh-CN"/>
        </w:rPr>
        <w:t>申请条件</w:t>
      </w:r>
      <w:r>
        <w:rPr>
          <w:rFonts w:hint="eastAsia" w:ascii="黑体" w:hAnsi="黑体" w:eastAsia="黑体"/>
          <w:bCs/>
          <w:color w:val="auto"/>
          <w:sz w:val="24"/>
          <w:szCs w:val="24"/>
          <w:highlight w:val="none"/>
        </w:rPr>
        <w:t>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已纳入纳税信用管理的纳税人，对纳税信用评价结果有异议，可在纳税信用评价结果确定的当年内向主管税务机关申请复核。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【设定依据】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1.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《国家税务总局关于发布〈纳税信用管理办法（试行）〉的公告》（国家税务总局公告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2014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年第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40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号）第二十五条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2.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《国家税务总局关于明确纳税信用补评和复评事项的公告》（国家税务总局公告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2015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年第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46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号）</w:t>
      </w:r>
    </w:p>
    <w:p>
      <w:pPr>
        <w:wordWrap w:val="0"/>
        <w:spacing w:line="360" w:lineRule="auto"/>
        <w:ind w:firstLine="480"/>
        <w:rPr>
          <w:rFonts w:hint="eastAsia" w:ascii="黑体" w:hAnsi="黑体" w:eastAsia="黑体" w:cs="Times New Roman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Times New Roman"/>
          <w:bCs/>
          <w:color w:val="auto"/>
          <w:sz w:val="24"/>
          <w:szCs w:val="24"/>
          <w:highlight w:val="none"/>
          <w:lang w:eastAsia="zh-CN"/>
        </w:rPr>
        <w:t>【办理材料】</w:t>
      </w:r>
    </w:p>
    <w:tbl>
      <w:tblPr>
        <w:tblStyle w:val="10"/>
        <w:tblW w:w="8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535"/>
        <w:gridCol w:w="68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color w:val="auto"/>
                <w:sz w:val="21"/>
                <w:szCs w:val="21"/>
                <w:highlight w:val="none"/>
              </w:rPr>
              <w:t>材料名称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黑体" w:hAnsi="黑体" w:eastAsia="黑体" w:cs="Times New Roman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Times New Roman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  <w:hidden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vanish w:val="0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Microsoft Himalaya"/>
                <w:color w:val="auto"/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Microsoft Himalaya"/>
                <w:color w:val="auto"/>
                <w:sz w:val="21"/>
                <w:szCs w:val="21"/>
                <w:highlight w:val="none"/>
              </w:rPr>
              <w:t>《纳税信用复评申请表》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Microsoft Himalay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vanish w:val="0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ascii="黑体" w:hAnsi="黑体" w:eastAsia="黑体" w:cs="Microsoft Himalaya"/>
                <w:color w:val="auto"/>
                <w:sz w:val="21"/>
                <w:szCs w:val="21"/>
                <w:highlight w:val="none"/>
              </w:rPr>
              <w:t>份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firstLine="0" w:firstLineChars="0"/>
              <w:jc w:val="center"/>
              <w:rPr>
                <w:rFonts w:hint="default" w:ascii="黑体" w:hAnsi="黑体" w:eastAsia="黑体" w:cs="Microsoft Himalaya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【办理地点】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可通过办税服务厅（场所）、电子税务局</w:t>
      </w:r>
      <w:r>
        <w:rPr>
          <w:rFonts w:hint="eastAsia" w:ascii="宋体" w:hAnsi="宋体" w:eastAsia="宋体" w:cstheme="minorBidi"/>
          <w:bCs w:val="0"/>
          <w:highlight w:val="none"/>
          <w:lang w:eastAsia="zh-CN"/>
        </w:rPr>
        <w:t>（http://etax.yunnan.chinatax.gov.cn）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办理，具体网址可从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eastAsia="zh-CN"/>
        </w:rPr>
        <w:t>云南省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税务局网站“纳税服务”栏目查询。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【办理机构】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主管税务机关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【收费标准】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不收费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【办理时间】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自受理之日起</w:t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15</w:t>
      </w:r>
      <w:r>
        <w:rPr>
          <w:rFonts w:hint="default" w:ascii="宋体" w:hAnsi="宋体" w:cs="Times New Roman"/>
          <w:color w:val="auto"/>
          <w:sz w:val="24"/>
          <w:szCs w:val="24"/>
          <w:highlight w:val="none"/>
        </w:rPr>
        <w:t>个工作日内办结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 xml:space="preserve"> 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【联系电话】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sz w:val="24"/>
          <w:szCs w:val="24"/>
          <w:highlight w:val="none"/>
        </w:rPr>
        <w:t>主管税务机关对外公开的联系电话，可从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eastAsia="zh-CN"/>
        </w:rPr>
        <w:t>云南省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税务局网站“纳税服务”栏目查询。</w:t>
      </w:r>
    </w:p>
    <w:p>
      <w:pPr>
        <w:wordWrap w:val="0"/>
        <w:spacing w:line="360" w:lineRule="auto"/>
        <w:ind w:firstLine="48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【办理流程】</w:t>
      </w:r>
    </w:p>
    <w:p>
      <w:pPr>
        <w:wordWrap w:val="0"/>
        <w:spacing w:line="360" w:lineRule="auto"/>
        <w:ind w:firstLine="0" w:firstLineChars="0"/>
        <w:rPr>
          <w:rFonts w:hint="default" w:ascii="黑体" w:hAnsi="黑体" w:eastAsia="黑体" w:cs="Times New Roman"/>
          <w:bCs/>
          <w:color w:val="auto"/>
          <w:sz w:val="24"/>
          <w:szCs w:val="24"/>
          <w:highlight w:val="none"/>
        </w:rPr>
      </w:pPr>
      <w:r>
        <w:rPr>
          <w:rFonts w:ascii="宋体" w:hAnsi="宋体" w:cs="Times New Roman"/>
          <w:color w:val="auto"/>
          <w:highlight w:val="none"/>
        </w:rPr>
        <w:drawing>
          <wp:inline distT="0" distB="0" distL="114300" distR="114300">
            <wp:extent cx="5184140" cy="1769745"/>
            <wp:effectExtent l="0" t="0" r="12700" b="13335"/>
            <wp:docPr id="125" name="图片 125" descr="C:\Users\baoqianyu\Desktop\流程图\流转\纳税人.png纳税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C:\Users\baoqianyu\Desktop\流程图\流转\纳税人.png纳税人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ab/>
      </w:r>
      <w:r>
        <w:rPr>
          <w:rFonts w:ascii="黑体" w:hAnsi="黑体" w:eastAsia="黑体" w:cs="Times New Roman"/>
          <w:bCs/>
          <w:color w:val="auto"/>
          <w:sz w:val="24"/>
          <w:szCs w:val="24"/>
          <w:highlight w:val="none"/>
        </w:rPr>
        <w:t>【纳税人注意事项】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default" w:ascii="宋体" w:hAnsi="宋体" w:cs="Times New Roman"/>
          <w:color w:val="auto"/>
          <w:sz w:val="24"/>
          <w:szCs w:val="24"/>
          <w:highlight w:val="none"/>
        </w:rPr>
        <w:t>纳税人对报送材料的真实性和合法性承担责任。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2.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纳税人使用</w:t>
      </w:r>
      <w:r>
        <w:rPr>
          <w:rFonts w:hint="default" w:ascii="宋体" w:hAnsi="宋体" w:cs="Times New Roman"/>
          <w:color w:val="auto"/>
          <w:sz w:val="24"/>
          <w:szCs w:val="24"/>
          <w:highlight w:val="none"/>
        </w:rPr>
        <w:t>符合电子签名法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规定条件的电子签名，</w:t>
      </w:r>
      <w:r>
        <w:rPr>
          <w:rFonts w:hint="default" w:ascii="宋体" w:hAnsi="宋体" w:cs="Times New Roman"/>
          <w:color w:val="auto"/>
          <w:sz w:val="24"/>
          <w:szCs w:val="24"/>
          <w:highlight w:val="none"/>
        </w:rPr>
        <w:t>与手写签名或者盖章具有同等法律效力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。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3.</w:t>
      </w:r>
      <w:r>
        <w:rPr>
          <w:rFonts w:ascii="宋体" w:hAnsi="宋体" w:cs="Times New Roman"/>
          <w:color w:val="auto"/>
          <w:sz w:val="24"/>
          <w:szCs w:val="24"/>
          <w:highlight w:val="none"/>
        </w:rPr>
        <w:t>纳税人评价结果确定的当年内申请复评。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4"/>
          <w:szCs w:val="24"/>
          <w:highlight w:val="none"/>
          <w:lang w:eastAsia="zh-CN"/>
        </w:rPr>
        <w:t>4.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eastAsia="zh-CN"/>
        </w:rPr>
        <w:t>文书表单可在云南省税务局网站“下载中心”栏目查询下载或到办税服务厅领取</w:t>
      </w:r>
      <w:r>
        <w:rPr>
          <w:rFonts w:hint="default" w:ascii="宋体" w:hAnsi="宋体" w:cs="Times New Roman"/>
          <w:color w:val="auto"/>
          <w:sz w:val="24"/>
          <w:szCs w:val="24"/>
          <w:highlight w:val="none"/>
        </w:rPr>
        <w:t>。</w:t>
      </w:r>
    </w:p>
    <w:p>
      <w:pPr>
        <w:wordWrap w:val="0"/>
        <w:spacing w:line="360" w:lineRule="auto"/>
        <w:ind w:firstLine="480"/>
        <w:rPr>
          <w:rFonts w:hint="default" w:ascii="宋体" w:hAnsi="宋体" w:cs="Times New Roman"/>
          <w:color w:val="auto"/>
          <w:sz w:val="24"/>
          <w:szCs w:val="24"/>
          <w:highlight w:val="none"/>
        </w:rPr>
      </w:pPr>
    </w:p>
    <w:p>
      <w:pPr>
        <w:pStyle w:val="15"/>
        <w:adjustRightInd/>
        <w:snapToGrid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95B45"/>
    <w:multiLevelType w:val="multilevel"/>
    <w:tmpl w:val="56095B45"/>
    <w:lvl w:ilvl="0" w:tentative="0">
      <w:start w:val="1"/>
      <w:numFmt w:val="bullet"/>
      <w:pStyle w:val="14"/>
      <w:lvlText w:val=""/>
      <w:lvlJc w:val="left"/>
      <w:pPr>
        <w:ind w:left="93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5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7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9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1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3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5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7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90" w:hanging="420"/>
      </w:pPr>
      <w:rPr>
        <w:rFonts w:hint="default" w:ascii="Wingdings" w:hAnsi="Wingdings"/>
      </w:rPr>
    </w:lvl>
  </w:abstractNum>
  <w:abstractNum w:abstractNumId="1">
    <w:nsid w:val="56930417"/>
    <w:multiLevelType w:val="multilevel"/>
    <w:tmpl w:val="56930417"/>
    <w:lvl w:ilvl="0" w:tentative="0">
      <w:start w:val="1"/>
      <w:numFmt w:val="bullet"/>
      <w:pStyle w:val="19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859"/>
    <w:rsid w:val="000C454B"/>
    <w:rsid w:val="00130881"/>
    <w:rsid w:val="00154125"/>
    <w:rsid w:val="00172A27"/>
    <w:rsid w:val="0018317A"/>
    <w:rsid w:val="001A4496"/>
    <w:rsid w:val="00214938"/>
    <w:rsid w:val="0028193D"/>
    <w:rsid w:val="002C08B6"/>
    <w:rsid w:val="002D5593"/>
    <w:rsid w:val="00367284"/>
    <w:rsid w:val="00375BA0"/>
    <w:rsid w:val="003A1F90"/>
    <w:rsid w:val="003A6ADD"/>
    <w:rsid w:val="003C0934"/>
    <w:rsid w:val="003D63F1"/>
    <w:rsid w:val="004364B4"/>
    <w:rsid w:val="00480D45"/>
    <w:rsid w:val="0049732A"/>
    <w:rsid w:val="0056720F"/>
    <w:rsid w:val="00570844"/>
    <w:rsid w:val="005C7669"/>
    <w:rsid w:val="005D4635"/>
    <w:rsid w:val="005F55A6"/>
    <w:rsid w:val="005F5AC7"/>
    <w:rsid w:val="006145D9"/>
    <w:rsid w:val="00626E47"/>
    <w:rsid w:val="0063088E"/>
    <w:rsid w:val="006C085A"/>
    <w:rsid w:val="00714D9C"/>
    <w:rsid w:val="0071698A"/>
    <w:rsid w:val="00785CD6"/>
    <w:rsid w:val="00821879"/>
    <w:rsid w:val="008473A5"/>
    <w:rsid w:val="00853641"/>
    <w:rsid w:val="00904470"/>
    <w:rsid w:val="0090668B"/>
    <w:rsid w:val="00921777"/>
    <w:rsid w:val="0095750F"/>
    <w:rsid w:val="00967033"/>
    <w:rsid w:val="00987B63"/>
    <w:rsid w:val="009B37D5"/>
    <w:rsid w:val="009D3FD3"/>
    <w:rsid w:val="00A027A3"/>
    <w:rsid w:val="00A255C1"/>
    <w:rsid w:val="00A2633B"/>
    <w:rsid w:val="00A32F3A"/>
    <w:rsid w:val="00A65714"/>
    <w:rsid w:val="00A97159"/>
    <w:rsid w:val="00AD0C2B"/>
    <w:rsid w:val="00AE521D"/>
    <w:rsid w:val="00B41A13"/>
    <w:rsid w:val="00B76D9D"/>
    <w:rsid w:val="00BB6150"/>
    <w:rsid w:val="00C042FA"/>
    <w:rsid w:val="00C84986"/>
    <w:rsid w:val="00D00C5D"/>
    <w:rsid w:val="00D50B4A"/>
    <w:rsid w:val="00D60D76"/>
    <w:rsid w:val="00DA753B"/>
    <w:rsid w:val="00DC7DC8"/>
    <w:rsid w:val="00E33E89"/>
    <w:rsid w:val="00E43FB2"/>
    <w:rsid w:val="00E80419"/>
    <w:rsid w:val="00E825C8"/>
    <w:rsid w:val="00E82D06"/>
    <w:rsid w:val="00EB10E1"/>
    <w:rsid w:val="00EC5928"/>
    <w:rsid w:val="00EC6660"/>
    <w:rsid w:val="00F10FFE"/>
    <w:rsid w:val="00F3195B"/>
    <w:rsid w:val="00F44B64"/>
    <w:rsid w:val="00F90BD1"/>
    <w:rsid w:val="00FB2F24"/>
    <w:rsid w:val="02D11211"/>
    <w:rsid w:val="0B702141"/>
    <w:rsid w:val="0C305439"/>
    <w:rsid w:val="0D28713C"/>
    <w:rsid w:val="11E42F98"/>
    <w:rsid w:val="123D09F9"/>
    <w:rsid w:val="14750DFE"/>
    <w:rsid w:val="17511349"/>
    <w:rsid w:val="1ADE526B"/>
    <w:rsid w:val="1C653FE6"/>
    <w:rsid w:val="1CED5B76"/>
    <w:rsid w:val="1EBB605A"/>
    <w:rsid w:val="1F276EE2"/>
    <w:rsid w:val="217E1A37"/>
    <w:rsid w:val="257B6D91"/>
    <w:rsid w:val="274F2D6E"/>
    <w:rsid w:val="279E1DD4"/>
    <w:rsid w:val="2B7E3F08"/>
    <w:rsid w:val="2E6D6B77"/>
    <w:rsid w:val="2EB70B20"/>
    <w:rsid w:val="2F063F9C"/>
    <w:rsid w:val="31DB7FCC"/>
    <w:rsid w:val="33F31659"/>
    <w:rsid w:val="35644F83"/>
    <w:rsid w:val="388412B0"/>
    <w:rsid w:val="3888648C"/>
    <w:rsid w:val="443233CD"/>
    <w:rsid w:val="47D27ECA"/>
    <w:rsid w:val="48852D64"/>
    <w:rsid w:val="50534C32"/>
    <w:rsid w:val="51380147"/>
    <w:rsid w:val="52A81E2A"/>
    <w:rsid w:val="533029C8"/>
    <w:rsid w:val="550C1809"/>
    <w:rsid w:val="55435D61"/>
    <w:rsid w:val="598F6D48"/>
    <w:rsid w:val="5D867C7F"/>
    <w:rsid w:val="5FBD3BB1"/>
    <w:rsid w:val="6005624E"/>
    <w:rsid w:val="612E7BDE"/>
    <w:rsid w:val="62FE750F"/>
    <w:rsid w:val="66080A8D"/>
    <w:rsid w:val="66485584"/>
    <w:rsid w:val="66812814"/>
    <w:rsid w:val="69C65751"/>
    <w:rsid w:val="6B4E0DA9"/>
    <w:rsid w:val="6C8C4B34"/>
    <w:rsid w:val="6D9C46C9"/>
    <w:rsid w:val="6DDB2915"/>
    <w:rsid w:val="71A1280F"/>
    <w:rsid w:val="725907D9"/>
    <w:rsid w:val="72C27974"/>
    <w:rsid w:val="75E85932"/>
    <w:rsid w:val="76F51055"/>
    <w:rsid w:val="77503EB2"/>
    <w:rsid w:val="79200F33"/>
    <w:rsid w:val="7B374F30"/>
    <w:rsid w:val="7C7F72C7"/>
    <w:rsid w:val="FC9B9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3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5"/>
    <w:qFormat/>
    <w:uiPriority w:val="0"/>
    <w:rPr>
      <w:rFonts w:ascii="宋体"/>
      <w:sz w:val="18"/>
      <w:szCs w:val="18"/>
    </w:rPr>
  </w:style>
  <w:style w:type="paragraph" w:styleId="6">
    <w:name w:val="Balloon Text"/>
    <w:basedOn w:val="1"/>
    <w:link w:val="42"/>
    <w:qFormat/>
    <w:uiPriority w:val="0"/>
    <w:rPr>
      <w:sz w:val="18"/>
      <w:szCs w:val="18"/>
    </w:rPr>
  </w:style>
  <w:style w:type="paragraph" w:styleId="7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39"/>
    <w:rPr>
      <w:rFonts w:ascii="Calibri" w:hAnsi="Calibri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二级标题"/>
    <w:basedOn w:val="3"/>
    <w:link w:val="40"/>
    <w:qFormat/>
    <w:uiPriority w:val="0"/>
    <w:pPr>
      <w:spacing w:beforeLines="150" w:afterLines="150" w:line="360" w:lineRule="auto"/>
      <w:ind w:firstLine="643" w:firstLineChars="200"/>
    </w:pPr>
    <w:rPr>
      <w:rFonts w:ascii="Times New Roman" w:hAnsi="Times New Roman" w:eastAsia="黑体"/>
    </w:rPr>
  </w:style>
  <w:style w:type="paragraph" w:customStyle="1" w:styleId="13">
    <w:name w:val="5.1证明"/>
    <w:basedOn w:val="1"/>
    <w:link w:val="30"/>
    <w:qFormat/>
    <w:uiPriority w:val="0"/>
    <w:pPr>
      <w:keepNext/>
      <w:keepLines/>
      <w:topLinePunct/>
      <w:adjustRightInd w:val="0"/>
      <w:spacing w:before="660" w:after="260"/>
      <w:ind w:firstLine="510"/>
      <w:outlineLvl w:val="1"/>
    </w:pPr>
    <w:rPr>
      <w:rFonts w:ascii="Arial" w:hAnsi="Arial" w:eastAsia="黑体"/>
      <w:b/>
      <w:bCs/>
      <w:kern w:val="24"/>
      <w:sz w:val="32"/>
      <w:szCs w:val="32"/>
    </w:rPr>
  </w:style>
  <w:style w:type="paragraph" w:customStyle="1" w:styleId="14">
    <w:name w:val="标签"/>
    <w:basedOn w:val="1"/>
    <w:link w:val="36"/>
    <w:qFormat/>
    <w:uiPriority w:val="0"/>
    <w:pPr>
      <w:numPr>
        <w:ilvl w:val="0"/>
        <w:numId w:val="1"/>
      </w:numPr>
      <w:topLinePunct/>
      <w:adjustRightInd w:val="0"/>
      <w:spacing w:line="360" w:lineRule="auto"/>
    </w:pPr>
    <w:rPr>
      <w:rFonts w:ascii="Times New Roman" w:hAnsi="Times New Roman"/>
      <w:kern w:val="24"/>
      <w:sz w:val="24"/>
      <w:szCs w:val="24"/>
    </w:rPr>
  </w:style>
  <w:style w:type="paragraph" w:customStyle="1" w:styleId="15">
    <w:name w:val="正文正文"/>
    <w:basedOn w:val="1"/>
    <w:link w:val="38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样式1【标准】"/>
    <w:basedOn w:val="2"/>
    <w:link w:val="33"/>
    <w:qFormat/>
    <w:uiPriority w:val="0"/>
    <w:pPr>
      <w:tabs>
        <w:tab w:val="center" w:pos="4153"/>
        <w:tab w:val="left" w:pos="6771"/>
      </w:tabs>
      <w:topLinePunct/>
      <w:autoSpaceDE w:val="0"/>
      <w:autoSpaceDN w:val="0"/>
      <w:adjustRightInd w:val="0"/>
      <w:spacing w:beforeLines="100" w:afterLines="100" w:line="360" w:lineRule="auto"/>
      <w:ind w:firstLine="723" w:firstLineChars="200"/>
      <w:jc w:val="center"/>
    </w:pPr>
    <w:rPr>
      <w:rFonts w:ascii="Times New Roman" w:hAnsi="Times New Roman" w:eastAsia="黑体"/>
      <w:bCs w:val="0"/>
      <w:kern w:val="24"/>
      <w:sz w:val="36"/>
      <w:szCs w:val="36"/>
    </w:rPr>
  </w:style>
  <w:style w:type="paragraph" w:customStyle="1" w:styleId="18">
    <w:name w:val="4.1 XX优惠"/>
    <w:basedOn w:val="3"/>
    <w:link w:val="31"/>
    <w:qFormat/>
    <w:uiPriority w:val="0"/>
    <w:pPr>
      <w:topLinePunct/>
      <w:adjustRightInd w:val="0"/>
      <w:spacing w:before="660" w:line="240" w:lineRule="auto"/>
      <w:ind w:firstLine="510"/>
    </w:pPr>
    <w:rPr>
      <w:rFonts w:ascii="Arial" w:hAnsi="Arial" w:eastAsia="黑体"/>
      <w:kern w:val="24"/>
    </w:rPr>
  </w:style>
  <w:style w:type="paragraph" w:customStyle="1" w:styleId="19">
    <w:name w:val="标签标签"/>
    <w:basedOn w:val="16"/>
    <w:link w:val="35"/>
    <w:qFormat/>
    <w:uiPriority w:val="0"/>
    <w:pPr>
      <w:numPr>
        <w:ilvl w:val="0"/>
        <w:numId w:val="2"/>
      </w:numPr>
      <w:adjustRightInd w:val="0"/>
      <w:snapToGrid w:val="0"/>
      <w:spacing w:beforeLines="25" w:afterLines="25" w:line="360" w:lineRule="auto"/>
      <w:ind w:left="0" w:firstLine="480"/>
    </w:pPr>
    <w:rPr>
      <w:rFonts w:ascii="黑体" w:hAnsi="黑体" w:eastAsia="黑体"/>
      <w:kern w:val="24"/>
      <w:sz w:val="24"/>
      <w:szCs w:val="24"/>
    </w:rPr>
  </w:style>
  <w:style w:type="paragraph" w:customStyle="1" w:styleId="20">
    <w:name w:val="3 sunshine"/>
    <w:basedOn w:val="4"/>
    <w:link w:val="27"/>
    <w:qFormat/>
    <w:uiPriority w:val="0"/>
    <w:pPr>
      <w:keepLines w:val="0"/>
      <w:topLinePunct/>
      <w:adjustRightInd w:val="0"/>
      <w:snapToGrid w:val="0"/>
      <w:spacing w:beforeLines="100" w:afterLines="100" w:line="360" w:lineRule="auto"/>
      <w:ind w:firstLine="562" w:firstLineChars="200"/>
    </w:pPr>
    <w:rPr>
      <w:rFonts w:ascii="Times New Roman" w:hAnsi="Times New Roman" w:eastAsia="黑体"/>
      <w:kern w:val="24"/>
      <w:sz w:val="28"/>
      <w:szCs w:val="28"/>
    </w:rPr>
  </w:style>
  <w:style w:type="paragraph" w:customStyle="1" w:styleId="21">
    <w:name w:val="5.1.1 完税"/>
    <w:basedOn w:val="1"/>
    <w:link w:val="29"/>
    <w:qFormat/>
    <w:uiPriority w:val="0"/>
    <w:pPr>
      <w:keepNext/>
      <w:topLinePunct/>
      <w:adjustRightInd w:val="0"/>
      <w:snapToGrid w:val="0"/>
      <w:spacing w:afterLines="125"/>
      <w:ind w:firstLine="510"/>
      <w:outlineLvl w:val="2"/>
    </w:pPr>
    <w:rPr>
      <w:rFonts w:ascii="Times New Roman" w:hAnsi="Times New Roman" w:eastAsia="黑体"/>
      <w:b/>
      <w:bCs/>
      <w:kern w:val="24"/>
      <w:sz w:val="28"/>
      <w:szCs w:val="28"/>
    </w:rPr>
  </w:style>
  <w:style w:type="paragraph" w:customStyle="1" w:styleId="22">
    <w:name w:val="【事项描】"/>
    <w:basedOn w:val="1"/>
    <w:link w:val="41"/>
    <w:qFormat/>
    <w:uiPriority w:val="0"/>
    <w:pPr>
      <w:adjustRightInd w:val="0"/>
      <w:snapToGrid w:val="0"/>
      <w:spacing w:line="360" w:lineRule="auto"/>
      <w:ind w:firstLine="482" w:firstLineChars="200"/>
    </w:pPr>
    <w:rPr>
      <w:rFonts w:ascii="宋体" w:hAnsi="宋体"/>
      <w:b/>
      <w:sz w:val="24"/>
      <w:szCs w:val="24"/>
    </w:rPr>
  </w:style>
  <w:style w:type="paragraph" w:customStyle="1" w:styleId="23">
    <w:name w:val="4.1.1 XX优惠"/>
    <w:basedOn w:val="4"/>
    <w:link w:val="39"/>
    <w:qFormat/>
    <w:uiPriority w:val="0"/>
    <w:pPr>
      <w:keepLines w:val="0"/>
      <w:topLinePunct/>
      <w:adjustRightInd w:val="0"/>
      <w:snapToGrid w:val="0"/>
      <w:spacing w:before="0" w:afterLines="125" w:line="240" w:lineRule="auto"/>
      <w:ind w:firstLine="510"/>
    </w:pPr>
    <w:rPr>
      <w:rFonts w:ascii="Times New Roman" w:hAnsi="Times New Roman" w:eastAsia="黑体"/>
      <w:kern w:val="24"/>
      <w:sz w:val="28"/>
      <w:szCs w:val="28"/>
    </w:rPr>
  </w:style>
  <w:style w:type="character" w:customStyle="1" w:styleId="24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25">
    <w:name w:val="文档结构图 Char"/>
    <w:basedOn w:val="9"/>
    <w:link w:val="5"/>
    <w:qFormat/>
    <w:uiPriority w:val="0"/>
    <w:rPr>
      <w:rFonts w:ascii="宋体"/>
      <w:kern w:val="2"/>
      <w:sz w:val="18"/>
      <w:szCs w:val="18"/>
    </w:rPr>
  </w:style>
  <w:style w:type="character" w:customStyle="1" w:styleId="26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27">
    <w:name w:val="3 sunshine 字符"/>
    <w:link w:val="20"/>
    <w:qFormat/>
    <w:uiPriority w:val="0"/>
    <w:rPr>
      <w:rFonts w:ascii="Times New Roman" w:hAnsi="Times New Roman" w:eastAsia="黑体"/>
      <w:b/>
      <w:bCs/>
      <w:kern w:val="24"/>
      <w:sz w:val="28"/>
      <w:szCs w:val="28"/>
    </w:rPr>
  </w:style>
  <w:style w:type="character" w:customStyle="1" w:styleId="28">
    <w:name w:val="标题 2 Char"/>
    <w:link w:val="3"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9">
    <w:name w:val="5.1.1 完税 字符"/>
    <w:link w:val="21"/>
    <w:qFormat/>
    <w:uiPriority w:val="0"/>
    <w:rPr>
      <w:rFonts w:ascii="Times New Roman" w:hAnsi="Times New Roman" w:eastAsia="黑体"/>
      <w:b/>
      <w:bCs/>
      <w:kern w:val="24"/>
      <w:sz w:val="28"/>
      <w:szCs w:val="28"/>
    </w:rPr>
  </w:style>
  <w:style w:type="character" w:customStyle="1" w:styleId="30">
    <w:name w:val="5.1证明 字符"/>
    <w:link w:val="13"/>
    <w:qFormat/>
    <w:uiPriority w:val="0"/>
    <w:rPr>
      <w:rFonts w:ascii="Arial" w:hAnsi="Arial" w:eastAsia="黑体"/>
      <w:b/>
      <w:bCs/>
      <w:kern w:val="24"/>
      <w:sz w:val="32"/>
      <w:szCs w:val="32"/>
    </w:rPr>
  </w:style>
  <w:style w:type="character" w:customStyle="1" w:styleId="31">
    <w:name w:val="4.1 XX优惠 字符"/>
    <w:link w:val="18"/>
    <w:qFormat/>
    <w:uiPriority w:val="0"/>
    <w:rPr>
      <w:rFonts w:ascii="Arial" w:hAnsi="Arial" w:eastAsia="黑体"/>
      <w:b/>
      <w:bCs/>
      <w:kern w:val="24"/>
      <w:sz w:val="32"/>
      <w:szCs w:val="32"/>
    </w:rPr>
  </w:style>
  <w:style w:type="character" w:customStyle="1" w:styleId="32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3">
    <w:name w:val="样式1【标准】 字符"/>
    <w:link w:val="17"/>
    <w:qFormat/>
    <w:uiPriority w:val="0"/>
    <w:rPr>
      <w:rFonts w:ascii="Times New Roman" w:hAnsi="Times New Roman" w:eastAsia="黑体"/>
      <w:b/>
      <w:kern w:val="24"/>
      <w:sz w:val="36"/>
      <w:szCs w:val="36"/>
    </w:rPr>
  </w:style>
  <w:style w:type="character" w:customStyle="1" w:styleId="34">
    <w:name w:val="标题 1 Char"/>
    <w:qFormat/>
    <w:locked/>
    <w:uiPriority w:val="0"/>
    <w:rPr>
      <w:rFonts w:ascii="黑体" w:hAnsi="黑体" w:eastAsia="黑体"/>
      <w:kern w:val="24"/>
      <w:sz w:val="36"/>
      <w:szCs w:val="36"/>
    </w:rPr>
  </w:style>
  <w:style w:type="character" w:customStyle="1" w:styleId="35">
    <w:name w:val="标签标签 字符"/>
    <w:link w:val="19"/>
    <w:qFormat/>
    <w:uiPriority w:val="0"/>
    <w:rPr>
      <w:rFonts w:ascii="黑体" w:hAnsi="黑体" w:eastAsia="黑体"/>
      <w:kern w:val="24"/>
      <w:sz w:val="24"/>
      <w:szCs w:val="24"/>
    </w:rPr>
  </w:style>
  <w:style w:type="character" w:customStyle="1" w:styleId="36">
    <w:name w:val="标签 字符"/>
    <w:link w:val="14"/>
    <w:qFormat/>
    <w:uiPriority w:val="0"/>
    <w:rPr>
      <w:rFonts w:ascii="Times New Roman" w:hAnsi="Times New Roman"/>
      <w:kern w:val="24"/>
      <w:sz w:val="24"/>
      <w:szCs w:val="24"/>
    </w:rPr>
  </w:style>
  <w:style w:type="character" w:customStyle="1" w:styleId="37">
    <w:name w:val="标题 1 Char1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8">
    <w:name w:val="正文正文 字符"/>
    <w:link w:val="15"/>
    <w:qFormat/>
    <w:uiPriority w:val="0"/>
    <w:rPr>
      <w:rFonts w:ascii="宋体" w:hAnsi="宋体"/>
      <w:kern w:val="2"/>
      <w:sz w:val="24"/>
      <w:szCs w:val="24"/>
    </w:rPr>
  </w:style>
  <w:style w:type="character" w:customStyle="1" w:styleId="39">
    <w:name w:val="4.1.1 XX优惠 字符"/>
    <w:link w:val="23"/>
    <w:qFormat/>
    <w:uiPriority w:val="0"/>
    <w:rPr>
      <w:rFonts w:ascii="Times New Roman" w:hAnsi="Times New Roman" w:eastAsia="黑体"/>
      <w:b/>
      <w:bCs/>
      <w:kern w:val="24"/>
      <w:sz w:val="28"/>
      <w:szCs w:val="28"/>
    </w:rPr>
  </w:style>
  <w:style w:type="character" w:customStyle="1" w:styleId="40">
    <w:name w:val="二级标题 字符"/>
    <w:link w:val="12"/>
    <w:qFormat/>
    <w:uiPriority w:val="0"/>
    <w:rPr>
      <w:rFonts w:ascii="Times New Roman" w:hAnsi="Times New Roman" w:eastAsia="黑体"/>
      <w:b/>
      <w:bCs/>
      <w:kern w:val="2"/>
      <w:sz w:val="32"/>
      <w:szCs w:val="32"/>
    </w:rPr>
  </w:style>
  <w:style w:type="character" w:customStyle="1" w:styleId="41">
    <w:name w:val="【事项描】 字符"/>
    <w:link w:val="22"/>
    <w:qFormat/>
    <w:uiPriority w:val="0"/>
    <w:rPr>
      <w:rFonts w:ascii="宋体" w:hAnsi="宋体"/>
      <w:b/>
      <w:kern w:val="2"/>
      <w:sz w:val="24"/>
      <w:szCs w:val="24"/>
    </w:rPr>
  </w:style>
  <w:style w:type="character" w:customStyle="1" w:styleId="42">
    <w:name w:val="批注框文本 Char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43">
    <w:name w:val="样式 样式 楷体_GB2312 五号 红色 下划线 行距: 单倍行距 + 首行缩进:  2 字符"/>
    <w:qFormat/>
    <w:uiPriority w:val="99"/>
    <w:pPr>
      <w:widowControl w:val="0"/>
      <w:spacing w:line="460" w:lineRule="exact"/>
      <w:ind w:firstLine="200" w:firstLineChars="200"/>
      <w:jc w:val="both"/>
    </w:pPr>
    <w:rPr>
      <w:rFonts w:ascii="楷体_GB2312" w:hAnsi="楷体" w:eastAsia="楷体_GB2312" w:cs="楷体_GB2312"/>
      <w:color w:val="FF0000"/>
      <w:kern w:val="2"/>
      <w:sz w:val="21"/>
      <w:szCs w:val="21"/>
      <w:u w:val="singl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402</Words>
  <Characters>2294</Characters>
  <Lines>19</Lines>
  <Paragraphs>5</Paragraphs>
  <TotalTime>1</TotalTime>
  <ScaleCrop>false</ScaleCrop>
  <LinksUpToDate>false</LinksUpToDate>
  <CharactersWithSpaces>2691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鲍倩钰</dc:creator>
  <cp:lastModifiedBy> </cp:lastModifiedBy>
  <dcterms:modified xsi:type="dcterms:W3CDTF">2020-01-13T07:57:10Z</dcterms:modified>
  <dc:title>9 信用评价规范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