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center" w:pos="4153"/>
          <w:tab w:val="left" w:pos="6771"/>
        </w:tabs>
        <w:autoSpaceDE w:val="0"/>
        <w:autoSpaceDN w:val="0"/>
        <w:spacing w:beforeLines="100" w:afterLines="100" w:line="360" w:lineRule="auto"/>
        <w:jc w:val="center"/>
        <w:rPr>
          <w:rFonts w:hint="eastAsia" w:ascii="黑体" w:hAnsi="黑体" w:eastAsia="黑体" w:cs="Times New Roman"/>
          <w:bCs w:val="0"/>
          <w:kern w:val="24"/>
          <w:sz w:val="36"/>
          <w:szCs w:val="36"/>
          <w:highlight w:val="none"/>
          <w:lang w:eastAsia="zh-CN"/>
        </w:rPr>
      </w:pPr>
      <w:bookmarkStart w:id="0" w:name="_Toc459387029"/>
      <w:bookmarkStart w:id="1" w:name="_Toc459388209"/>
      <w:bookmarkStart w:id="2" w:name="_Toc459987190"/>
      <w:r>
        <w:rPr>
          <w:rFonts w:ascii="Times New Roman" w:hAnsi="Times New Roman" w:eastAsia="黑体" w:cs="Times New Roman"/>
          <w:bCs w:val="0"/>
          <w:kern w:val="24"/>
          <w:sz w:val="36"/>
          <w:szCs w:val="36"/>
          <w:highlight w:val="none"/>
        </w:rPr>
        <w:t>14</w:t>
      </w:r>
      <w:r>
        <w:rPr>
          <w:rFonts w:hint="eastAsia"/>
          <w:highlight w:val="none"/>
        </w:rPr>
        <w:t>　</w:t>
      </w:r>
      <w:r>
        <w:rPr>
          <w:rFonts w:hint="eastAsia" w:ascii="黑体" w:hAnsi="黑体" w:eastAsia="黑体" w:cs="Times New Roman"/>
          <w:bCs w:val="0"/>
          <w:kern w:val="24"/>
          <w:sz w:val="36"/>
          <w:szCs w:val="36"/>
          <w:highlight w:val="none"/>
        </w:rPr>
        <w:t>涉税专业服务</w:t>
      </w:r>
      <w:r>
        <w:rPr>
          <w:rFonts w:hint="eastAsia" w:ascii="黑体" w:hAnsi="黑体" w:eastAsia="黑体" w:cs="Times New Roman"/>
          <w:bCs w:val="0"/>
          <w:kern w:val="24"/>
          <w:sz w:val="36"/>
          <w:szCs w:val="36"/>
          <w:highlight w:val="none"/>
          <w:lang w:eastAsia="zh-CN"/>
        </w:rPr>
        <w:t>类</w:t>
      </w:r>
    </w:p>
    <w:bookmarkEnd w:id="0"/>
    <w:bookmarkEnd w:id="1"/>
    <w:bookmarkEnd w:id="2"/>
    <w:p>
      <w:pPr>
        <w:wordWrap w:val="0"/>
        <w:spacing w:beforeLines="100" w:afterLines="100" w:line="360" w:lineRule="auto"/>
        <w:ind w:firstLine="562" w:firstLineChars="200"/>
        <w:outlineLvl w:val="2"/>
        <w:rPr>
          <w:rFonts w:eastAsia="黑体" w:cs="Times New Roman"/>
          <w:b/>
          <w:bCs/>
          <w:color w:val="000000" w:themeColor="text1"/>
          <w:kern w:val="24"/>
          <w:sz w:val="28"/>
          <w:szCs w:val="28"/>
          <w:highlight w:val="none"/>
          <w14:textFill>
            <w14:solidFill>
              <w14:schemeClr w14:val="tx1"/>
            </w14:solidFill>
          </w14:textFill>
        </w:rPr>
      </w:pPr>
      <w:bookmarkStart w:id="3" w:name="_Toc17863"/>
      <w:r>
        <w:rPr>
          <w:rFonts w:hint="eastAsia" w:ascii="Times New Roman" w:hAnsi="Times New Roman" w:eastAsia="黑体" w:cs="Times New Roman"/>
          <w:b/>
          <w:bCs/>
          <w:color w:val="000000" w:themeColor="text1"/>
          <w:kern w:val="24"/>
          <w:sz w:val="28"/>
          <w:szCs w:val="28"/>
          <w:highlight w:val="none"/>
          <w14:textFill>
            <w14:solidFill>
              <w14:schemeClr w14:val="tx1"/>
            </w14:solidFill>
          </w14:textFill>
        </w:rPr>
        <w:t>14.1</w:t>
      </w:r>
      <w:r>
        <w:rPr>
          <w:rFonts w:eastAsia="黑体" w:cs="Times New Roman"/>
          <w:b/>
          <w:bCs/>
          <w:color w:val="000000" w:themeColor="text1"/>
          <w:kern w:val="24"/>
          <w:sz w:val="28"/>
          <w:szCs w:val="28"/>
          <w:highlight w:val="none"/>
          <w14:textFill>
            <w14:solidFill>
              <w14:schemeClr w14:val="tx1"/>
            </w14:solidFill>
          </w14:textFill>
        </w:rPr>
        <w:t>—</w:t>
      </w:r>
      <w:r>
        <w:rPr>
          <w:rFonts w:hint="eastAsia" w:ascii="Times New Roman" w:hAnsi="Times New Roman" w:eastAsia="黑体" w:cs="Times New Roman"/>
          <w:b/>
          <w:bCs/>
          <w:color w:val="000000" w:themeColor="text1"/>
          <w:kern w:val="24"/>
          <w:sz w:val="28"/>
          <w:szCs w:val="28"/>
          <w:highlight w:val="none"/>
          <w14:textFill>
            <w14:solidFill>
              <w14:schemeClr w14:val="tx1"/>
            </w14:solidFill>
          </w14:textFill>
        </w:rPr>
        <w:t>1</w:t>
      </w:r>
      <w:r>
        <w:rPr>
          <w:rFonts w:hint="eastAsia" w:ascii="Times New Roman" w:hAnsi="Times New Roman" w:eastAsia="黑体" w:cs="Times New Roman"/>
          <w:b/>
          <w:bCs/>
          <w:color w:val="000000" w:themeColor="text1"/>
          <w:kern w:val="24"/>
          <w:sz w:val="28"/>
          <w:szCs w:val="28"/>
          <w:highlight w:val="none"/>
          <w:lang w:val="en-US" w:eastAsia="zh-CN"/>
          <w14:textFill>
            <w14:solidFill>
              <w14:schemeClr w14:val="tx1"/>
            </w14:solidFill>
          </w14:textFill>
        </w:rPr>
        <w:t>52</w:t>
      </w:r>
      <w:r>
        <w:rPr>
          <w:rFonts w:eastAsia="黑体" w:cs="Times New Roman"/>
          <w:b/>
          <w:bCs/>
          <w:color w:val="000000" w:themeColor="text1"/>
          <w:kern w:val="24"/>
          <w:sz w:val="28"/>
          <w:szCs w:val="28"/>
          <w:highlight w:val="none"/>
          <w14:textFill>
            <w14:solidFill>
              <w14:schemeClr w14:val="tx1"/>
            </w14:solidFill>
          </w14:textFill>
        </w:rPr>
        <w:t>　税务师事务所行政登记变更</w:t>
      </w:r>
      <w:bookmarkEnd w:id="3"/>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【事项名称】</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color w:val="000000" w:themeColor="text1"/>
          <w:sz w:val="24"/>
          <w:szCs w:val="28"/>
          <w:highlight w:val="none"/>
          <w14:textFill>
            <w14:solidFill>
              <w14:schemeClr w14:val="tx1"/>
            </w14:solidFill>
          </w14:textFill>
        </w:rPr>
        <w:t>税务师事务所行政登记变更</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w:t>
      </w:r>
      <w:r>
        <w:rPr>
          <w:rFonts w:hint="eastAsia" w:ascii="黑体" w:hAnsi="黑体" w:eastAsia="黑体" w:cs="Times New Roman"/>
          <w:bCs/>
          <w:color w:val="000000" w:themeColor="text1"/>
          <w:sz w:val="24"/>
          <w:szCs w:val="28"/>
          <w:highlight w:val="none"/>
          <w14:textFill>
            <w14:solidFill>
              <w14:schemeClr w14:val="tx1"/>
            </w14:solidFill>
          </w14:textFill>
        </w:rPr>
        <w:t>申请条件</w:t>
      </w:r>
      <w:r>
        <w:rPr>
          <w:rFonts w:ascii="黑体" w:hAnsi="黑体" w:eastAsia="黑体" w:cs="Times New Roman"/>
          <w:bCs/>
          <w:color w:val="000000" w:themeColor="text1"/>
          <w:sz w:val="24"/>
          <w:szCs w:val="28"/>
          <w:highlight w:val="none"/>
          <w14:textFill>
            <w14:solidFill>
              <w14:schemeClr w14:val="tx1"/>
            </w14:solidFill>
          </w14:textFill>
        </w:rPr>
        <w:t>】</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bCs/>
          <w:color w:val="000000" w:themeColor="text1"/>
          <w:sz w:val="24"/>
          <w:szCs w:val="28"/>
          <w:highlight w:val="none"/>
          <w14:textFill>
            <w14:solidFill>
              <w14:schemeClr w14:val="tx1"/>
            </w14:solidFill>
          </w14:textFill>
        </w:rPr>
        <w:t>税务师事务所的名称、组织形式、经营场所、合伙人或者股东、执行事务合伙人或者法定代表人等事项发生变更的，应当自办理工商变更之日起</w:t>
      </w:r>
      <w:r>
        <w:rPr>
          <w:rFonts w:hint="eastAsia" w:ascii="Times New Roman" w:hAnsi="Times New Roman" w:cs="Times New Roman"/>
          <w:bCs/>
          <w:color w:val="000000" w:themeColor="text1"/>
          <w:sz w:val="24"/>
          <w:szCs w:val="28"/>
          <w:highlight w:val="none"/>
          <w14:textFill>
            <w14:solidFill>
              <w14:schemeClr w14:val="tx1"/>
            </w14:solidFill>
          </w14:textFill>
        </w:rPr>
        <w:t>20</w:t>
      </w:r>
      <w:r>
        <w:rPr>
          <w:rFonts w:ascii="宋体" w:hAnsi="宋体"/>
          <w:bCs/>
          <w:color w:val="000000" w:themeColor="text1"/>
          <w:sz w:val="24"/>
          <w:szCs w:val="28"/>
          <w:highlight w:val="none"/>
          <w14:textFill>
            <w14:solidFill>
              <w14:schemeClr w14:val="tx1"/>
            </w14:solidFill>
          </w14:textFill>
        </w:rPr>
        <w:t>个工作日内办理变更行政登记。</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【设定依据】</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ascii="宋体" w:hAnsi="宋体"/>
          <w:bCs/>
          <w:color w:val="000000" w:themeColor="text1"/>
          <w:sz w:val="24"/>
          <w:szCs w:val="28"/>
          <w:highlight w:val="none"/>
          <w14:textFill>
            <w14:solidFill>
              <w14:schemeClr w14:val="tx1"/>
            </w14:solidFill>
          </w14:textFill>
        </w:rPr>
        <w:t>《国家税务总局关于发布&lt;税务师事务所行政登记规程（试行）&gt;的公告》（国家税务总局公告</w:t>
      </w:r>
      <w:r>
        <w:rPr>
          <w:rFonts w:hint="eastAsia" w:ascii="Times New Roman" w:hAnsi="Times New Roman" w:cs="Times New Roman"/>
          <w:bCs/>
          <w:color w:val="000000" w:themeColor="text1"/>
          <w:sz w:val="24"/>
          <w:szCs w:val="28"/>
          <w:highlight w:val="none"/>
          <w14:textFill>
            <w14:solidFill>
              <w14:schemeClr w14:val="tx1"/>
            </w14:solidFill>
          </w14:textFill>
        </w:rPr>
        <w:t>2017</w:t>
      </w:r>
      <w:r>
        <w:rPr>
          <w:rFonts w:ascii="宋体" w:hAnsi="宋体"/>
          <w:bCs/>
          <w:color w:val="000000" w:themeColor="text1"/>
          <w:sz w:val="24"/>
          <w:szCs w:val="28"/>
          <w:highlight w:val="none"/>
          <w14:textFill>
            <w14:solidFill>
              <w14:schemeClr w14:val="tx1"/>
            </w14:solidFill>
          </w14:textFill>
        </w:rPr>
        <w:t>年第</w:t>
      </w:r>
      <w:r>
        <w:rPr>
          <w:rFonts w:hint="eastAsia" w:ascii="Times New Roman" w:hAnsi="Times New Roman" w:cs="Times New Roman"/>
          <w:bCs/>
          <w:color w:val="000000" w:themeColor="text1"/>
          <w:sz w:val="24"/>
          <w:szCs w:val="28"/>
          <w:highlight w:val="none"/>
          <w14:textFill>
            <w14:solidFill>
              <w14:schemeClr w14:val="tx1"/>
            </w14:solidFill>
          </w14:textFill>
        </w:rPr>
        <w:t>31</w:t>
      </w:r>
      <w:r>
        <w:rPr>
          <w:rFonts w:ascii="宋体" w:hAnsi="宋体"/>
          <w:bCs/>
          <w:color w:val="000000" w:themeColor="text1"/>
          <w:sz w:val="24"/>
          <w:szCs w:val="28"/>
          <w:highlight w:val="none"/>
          <w14:textFill>
            <w14:solidFill>
              <w14:schemeClr w14:val="tx1"/>
            </w14:solidFill>
          </w14:textFill>
        </w:rPr>
        <w:t>号）第八条、第九条</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【办理材料】</w:t>
      </w:r>
    </w:p>
    <w:tbl>
      <w:tblPr>
        <w:tblStyle w:val="13"/>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447"/>
        <w:gridCol w:w="3089"/>
        <w:gridCol w:w="68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79"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序号</w:t>
            </w:r>
          </w:p>
        </w:tc>
        <w:tc>
          <w:tcPr>
            <w:tcW w:w="4536"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数量</w:t>
            </w:r>
          </w:p>
        </w:tc>
        <w:tc>
          <w:tcPr>
            <w:tcW w:w="22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679"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1</w:t>
            </w:r>
          </w:p>
        </w:tc>
        <w:tc>
          <w:tcPr>
            <w:tcW w:w="4536" w:type="dxa"/>
            <w:gridSpan w:val="2"/>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ascii="黑体" w:hAnsi="黑体" w:eastAsia="黑体"/>
                <w:color w:val="000000" w:themeColor="text1"/>
                <w:sz w:val="18"/>
                <w:szCs w:val="18"/>
                <w:highlight w:val="none"/>
                <w14:textFill>
                  <w14:solidFill>
                    <w14:schemeClr w14:val="tx1"/>
                  </w14:solidFill>
                </w14:textFill>
              </w:rPr>
              <w:t>《税务师事务所变更/终止行政登记表》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2</w:t>
            </w:r>
            <w:r>
              <w:rPr>
                <w:rFonts w:ascii="黑体" w:hAnsi="黑体" w:eastAsia="黑体" w:cs="Microsoft Himalaya"/>
                <w:color w:val="000000" w:themeColor="text1"/>
                <w:sz w:val="18"/>
                <w:szCs w:val="18"/>
                <w:highlight w:val="none"/>
                <w14:textFill>
                  <w14:solidFill>
                    <w14:schemeClr w14:val="tx1"/>
                  </w14:solidFill>
                </w14:textFill>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679"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2</w:t>
            </w:r>
          </w:p>
        </w:tc>
        <w:tc>
          <w:tcPr>
            <w:tcW w:w="4536" w:type="dxa"/>
            <w:gridSpan w:val="2"/>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ascii="黑体" w:hAnsi="黑体" w:eastAsia="黑体"/>
                <w:color w:val="000000" w:themeColor="text1"/>
                <w:sz w:val="18"/>
                <w:szCs w:val="18"/>
                <w:highlight w:val="none"/>
                <w14:textFill>
                  <w14:solidFill>
                    <w14:schemeClr w14:val="tx1"/>
                  </w14:solidFill>
                </w14:textFill>
              </w:rPr>
              <w:t>原《税务师事务所行政登记证书》</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1</w:t>
            </w:r>
            <w:r>
              <w:rPr>
                <w:rFonts w:ascii="黑体" w:hAnsi="黑体" w:eastAsia="黑体" w:cs="Microsoft Himalaya"/>
                <w:color w:val="000000" w:themeColor="text1"/>
                <w:sz w:val="18"/>
                <w:szCs w:val="18"/>
                <w:highlight w:val="none"/>
                <w14:textFill>
                  <w14:solidFill>
                    <w14:schemeClr w14:val="tx1"/>
                  </w14:solidFill>
                </w14:textFill>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679"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3</w:t>
            </w:r>
          </w:p>
        </w:tc>
        <w:tc>
          <w:tcPr>
            <w:tcW w:w="4536" w:type="dxa"/>
            <w:gridSpan w:val="2"/>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ascii="黑体" w:hAnsi="黑体" w:eastAsia="黑体"/>
                <w:color w:val="000000" w:themeColor="text1"/>
                <w:sz w:val="18"/>
                <w:szCs w:val="18"/>
                <w:highlight w:val="none"/>
                <w14:textFill>
                  <w14:solidFill>
                    <w14:schemeClr w14:val="tx1"/>
                  </w14:solidFill>
                </w14:textFill>
              </w:rPr>
              <w:t>变更后的营业执照复印件</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1</w:t>
            </w:r>
            <w:r>
              <w:rPr>
                <w:rFonts w:ascii="黑体" w:hAnsi="黑体" w:eastAsia="黑体" w:cs="Microsoft Himalaya"/>
                <w:color w:val="000000" w:themeColor="text1"/>
                <w:sz w:val="18"/>
                <w:szCs w:val="18"/>
                <w:highlight w:val="none"/>
                <w14:textFill>
                  <w14:solidFill>
                    <w14:schemeClr w14:val="tx1"/>
                  </w14:solidFill>
                </w14:textFill>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8163" w:type="dxa"/>
            <w:gridSpan w:val="5"/>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lang w:val="zh-CN"/>
                <w14:textFill>
                  <w14:solidFill>
                    <w14:schemeClr w14:val="tx1"/>
                  </w14:solidFill>
                </w14:textFill>
              </w:rPr>
            </w:pPr>
            <w:r>
              <w:rPr>
                <w:rFonts w:ascii="黑体" w:hAnsi="黑体" w:eastAsia="黑体"/>
                <w:color w:val="000000" w:themeColor="text1"/>
                <w:szCs w:val="21"/>
                <w:highlight w:val="none"/>
                <w:lang w:val="zh-CN"/>
                <w14:textFill>
                  <w14:solidFill>
                    <w14:schemeClr w14:val="tx1"/>
                  </w14:solidFill>
                </w14:textFill>
              </w:rPr>
              <w:t>有以下情形的，还应提供相应材料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2126"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适用情形</w:t>
            </w:r>
          </w:p>
        </w:tc>
        <w:tc>
          <w:tcPr>
            <w:tcW w:w="3089"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数量</w:t>
            </w:r>
          </w:p>
        </w:tc>
        <w:tc>
          <w:tcPr>
            <w:tcW w:w="22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exact"/>
          <w:jc w:val="center"/>
        </w:trPr>
        <w:tc>
          <w:tcPr>
            <w:tcW w:w="2126" w:type="dxa"/>
            <w:gridSpan w:val="2"/>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ascii="黑体" w:hAnsi="黑体" w:eastAsia="黑体"/>
                <w:color w:val="000000" w:themeColor="text1"/>
                <w:sz w:val="18"/>
                <w:szCs w:val="18"/>
                <w:highlight w:val="none"/>
                <w14:textFill>
                  <w14:solidFill>
                    <w14:schemeClr w14:val="tx1"/>
                  </w14:solidFill>
                </w14:textFill>
              </w:rPr>
              <w:t>机构担任税务师事务所合伙人或股东还应报送</w:t>
            </w:r>
          </w:p>
        </w:tc>
        <w:tc>
          <w:tcPr>
            <w:tcW w:w="3089"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ascii="黑体" w:hAnsi="黑体" w:eastAsia="黑体"/>
                <w:color w:val="000000" w:themeColor="text1"/>
                <w:sz w:val="18"/>
                <w:szCs w:val="18"/>
                <w:highlight w:val="none"/>
                <w14:textFill>
                  <w14:solidFill>
                    <w14:schemeClr w14:val="tx1"/>
                  </w14:solidFill>
                </w14:textFill>
              </w:rPr>
              <w:t>《税务师事务所机构合伙人或</w:t>
            </w:r>
          </w:p>
          <w:p>
            <w:pPr>
              <w:wordWrap w:val="0"/>
              <w:jc w:val="center"/>
              <w:rPr>
                <w:rFonts w:ascii="黑体" w:hAnsi="黑体" w:eastAsia="黑体"/>
                <w:color w:val="000000" w:themeColor="text1"/>
                <w:sz w:val="18"/>
                <w:szCs w:val="18"/>
                <w:highlight w:val="none"/>
                <w14:textFill>
                  <w14:solidFill>
                    <w14:schemeClr w14:val="tx1"/>
                  </w14:solidFill>
                </w14:textFill>
              </w:rPr>
            </w:pPr>
            <w:r>
              <w:rPr>
                <w:rFonts w:ascii="黑体" w:hAnsi="黑体" w:eastAsia="黑体"/>
                <w:color w:val="000000" w:themeColor="text1"/>
                <w:sz w:val="18"/>
                <w:szCs w:val="18"/>
                <w:highlight w:val="none"/>
                <w14:textFill>
                  <w14:solidFill>
                    <w14:schemeClr w14:val="tx1"/>
                  </w14:solidFill>
                </w14:textFill>
              </w:rPr>
              <w:t>股东信息备案表》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2</w:t>
            </w:r>
            <w:r>
              <w:rPr>
                <w:rFonts w:ascii="黑体" w:hAnsi="黑体" w:eastAsia="黑体"/>
                <w:color w:val="000000" w:themeColor="text1"/>
                <w:sz w:val="18"/>
                <w:szCs w:val="18"/>
                <w:highlight w:val="none"/>
                <w14:textFill>
                  <w14:solidFill>
                    <w14:schemeClr w14:val="tx1"/>
                  </w14:solidFill>
                </w14:textFill>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p>
        </w:tc>
      </w:tr>
    </w:tbl>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【办理地点】</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color w:val="000000" w:themeColor="text1"/>
          <w:sz w:val="24"/>
          <w:szCs w:val="28"/>
          <w:highlight w:val="none"/>
          <w14:textFill>
            <w14:solidFill>
              <w14:schemeClr w14:val="tx1"/>
            </w14:solidFill>
          </w14:textFill>
        </w:rPr>
        <w:t>机构所在地的省税务机关</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【办理机构】</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color w:val="000000" w:themeColor="text1"/>
          <w:sz w:val="24"/>
          <w:szCs w:val="28"/>
          <w:highlight w:val="none"/>
          <w14:textFill>
            <w14:solidFill>
              <w14:schemeClr w14:val="tx1"/>
            </w14:solidFill>
          </w14:textFill>
        </w:rPr>
        <w:t>省税务机关纳税服务部门</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【收费标准】</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color w:val="000000" w:themeColor="text1"/>
          <w:sz w:val="24"/>
          <w:szCs w:val="28"/>
          <w:highlight w:val="none"/>
          <w14:textFill>
            <w14:solidFill>
              <w14:schemeClr w14:val="tx1"/>
            </w14:solidFill>
          </w14:textFill>
        </w:rPr>
        <w:t>不收费</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【办理时间】</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color w:val="000000" w:themeColor="text1"/>
          <w:sz w:val="24"/>
          <w:szCs w:val="28"/>
          <w:highlight w:val="none"/>
          <w14:textFill>
            <w14:solidFill>
              <w14:schemeClr w14:val="tx1"/>
            </w14:solidFill>
          </w14:textFill>
        </w:rPr>
        <w:t>省税务机关自受理材料之日起</w:t>
      </w:r>
      <w:r>
        <w:rPr>
          <w:rFonts w:hint="eastAsia" w:ascii="Times New Roman" w:hAnsi="Times New Roman" w:cs="Times New Roman"/>
          <w:color w:val="000000" w:themeColor="text1"/>
          <w:sz w:val="24"/>
          <w:szCs w:val="28"/>
          <w:highlight w:val="none"/>
          <w14:textFill>
            <w14:solidFill>
              <w14:schemeClr w14:val="tx1"/>
            </w14:solidFill>
          </w14:textFill>
        </w:rPr>
        <w:t>15</w:t>
      </w:r>
      <w:r>
        <w:rPr>
          <w:rFonts w:ascii="宋体" w:hAnsi="宋体"/>
          <w:color w:val="000000" w:themeColor="text1"/>
          <w:sz w:val="24"/>
          <w:szCs w:val="28"/>
          <w:highlight w:val="none"/>
          <w14:textFill>
            <w14:solidFill>
              <w14:schemeClr w14:val="tx1"/>
            </w14:solidFill>
          </w14:textFill>
        </w:rPr>
        <w:t>个工作日内办理税务师事务所变更行政登记</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【联系电话】</w:t>
      </w:r>
    </w:p>
    <w:p>
      <w:pPr>
        <w:wordWrap w:val="0"/>
        <w:spacing w:line="360" w:lineRule="auto"/>
        <w:ind w:firstLine="480"/>
        <w:rPr>
          <w:rFonts w:ascii="宋体" w:hAnsi="宋体" w:cs="宋体"/>
          <w:color w:val="000000" w:themeColor="text1"/>
          <w:sz w:val="24"/>
          <w:szCs w:val="28"/>
          <w:highlight w:val="none"/>
          <w14:textFill>
            <w14:solidFill>
              <w14:schemeClr w14:val="tx1"/>
            </w14:solidFill>
          </w14:textFill>
        </w:rPr>
      </w:pPr>
      <w:r>
        <w:rPr>
          <w:rFonts w:ascii="宋体" w:hAnsi="宋体"/>
          <w:color w:val="000000" w:themeColor="text1"/>
          <w:sz w:val="24"/>
          <w:szCs w:val="28"/>
          <w:highlight w:val="none"/>
          <w14:textFill>
            <w14:solidFill>
              <w14:schemeClr w14:val="tx1"/>
            </w14:solidFill>
          </w14:textFill>
        </w:rPr>
        <w:t>省税务机关对外公开的联系电话，</w:t>
      </w:r>
      <w:r>
        <w:rPr>
          <w:rFonts w:ascii="宋体" w:hAnsi="宋体" w:cs="宋体"/>
          <w:color w:val="000000" w:themeColor="text1"/>
          <w:sz w:val="24"/>
          <w:szCs w:val="28"/>
          <w:highlight w:val="none"/>
          <w14:textFill>
            <w14:solidFill>
              <w14:schemeClr w14:val="tx1"/>
            </w14:solidFill>
          </w14:textFill>
        </w:rPr>
        <w:t>可从</w:t>
      </w:r>
      <w:r>
        <w:rPr>
          <w:rFonts w:hint="eastAsia" w:ascii="宋体" w:hAnsi="宋体" w:cs="宋体"/>
          <w:color w:val="000000" w:themeColor="text1"/>
          <w:sz w:val="24"/>
          <w:szCs w:val="28"/>
          <w:highlight w:val="none"/>
          <w:lang w:eastAsia="zh-CN"/>
          <w14:textFill>
            <w14:solidFill>
              <w14:schemeClr w14:val="tx1"/>
            </w14:solidFill>
          </w14:textFill>
        </w:rPr>
        <w:t>云南省</w:t>
      </w:r>
      <w:r>
        <w:rPr>
          <w:rFonts w:ascii="宋体" w:hAnsi="宋体" w:cs="宋体"/>
          <w:color w:val="000000" w:themeColor="text1"/>
          <w:sz w:val="24"/>
          <w:szCs w:val="28"/>
          <w:highlight w:val="none"/>
          <w14:textFill>
            <w14:solidFill>
              <w14:schemeClr w14:val="tx1"/>
            </w14:solidFill>
          </w14:textFill>
        </w:rPr>
        <w:t>税务局网站“纳税服务”栏目查询。</w:t>
      </w:r>
    </w:p>
    <w:p>
      <w:pPr>
        <w:wordWrap w:val="0"/>
        <w:spacing w:line="360" w:lineRule="auto"/>
        <w:ind w:firstLine="480"/>
        <w:rPr>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【办理流程】</w:t>
      </w:r>
    </w:p>
    <w:p>
      <w:pPr>
        <w:wordWrap w:val="0"/>
        <w:spacing w:line="360" w:lineRule="auto"/>
        <w:rPr>
          <w:rFonts w:ascii="宋体" w:hAnsi="宋体"/>
          <w:b/>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5182870" cy="1725930"/>
            <wp:effectExtent l="0" t="0" r="13970" b="11430"/>
            <wp:docPr id="134" name="图片 2" descr="C:\Users\baoqianyu\Desktop\流程图\变更行政登记.png变更行政登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2" descr="C:\Users\baoqianyu\Desktop\流程图\变更行政登记.png变更行政登记"/>
                    <pic:cNvPicPr>
                      <a:picLocks noChangeAspect="1"/>
                    </pic:cNvPicPr>
                  </pic:nvPicPr>
                  <pic:blipFill>
                    <a:blip r:embed="rId5"/>
                    <a:srcRect/>
                    <a:stretch>
                      <a:fillRect/>
                    </a:stretch>
                  </pic:blipFill>
                  <pic:spPr>
                    <a:xfrm>
                      <a:off x="0" y="0"/>
                      <a:ext cx="5182870" cy="1725930"/>
                    </a:xfrm>
                    <a:prstGeom prst="rect">
                      <a:avLst/>
                    </a:prstGeom>
                    <a:noFill/>
                    <a:ln>
                      <a:noFill/>
                    </a:ln>
                  </pic:spPr>
                </pic:pic>
              </a:graphicData>
            </a:graphic>
          </wp:inline>
        </w:drawing>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【注意事项】</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1.</w:t>
      </w:r>
      <w:r>
        <w:rPr>
          <w:rFonts w:ascii="宋体" w:hAnsi="宋体"/>
          <w:color w:val="000000" w:themeColor="text1"/>
          <w:sz w:val="24"/>
          <w:szCs w:val="28"/>
          <w:highlight w:val="none"/>
          <w14:textFill>
            <w14:solidFill>
              <w14:schemeClr w14:val="tx1"/>
            </w14:solidFill>
          </w14:textFill>
        </w:rPr>
        <w:t>行政相对人对报送材料的真实性和合法性承担责任。</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2.</w:t>
      </w:r>
      <w:r>
        <w:rPr>
          <w:rFonts w:hint="eastAsia" w:ascii="宋体" w:hAnsi="宋体" w:cs="Times New Roman"/>
          <w:color w:val="000000" w:themeColor="text1"/>
          <w:sz w:val="24"/>
          <w:szCs w:val="28"/>
          <w:highlight w:val="none"/>
          <w:lang w:eastAsia="zh-CN"/>
          <w14:textFill>
            <w14:solidFill>
              <w14:schemeClr w14:val="tx1"/>
            </w14:solidFill>
          </w14:textFill>
        </w:rPr>
        <w:t>文书表单可在云南省税务局网站“下载中心”栏目查询下载或到办税服务厅领取</w:t>
      </w:r>
      <w:r>
        <w:rPr>
          <w:rFonts w:ascii="宋体" w:hAnsi="宋体" w:cs="Times New Roman"/>
          <w:color w:val="000000" w:themeColor="text1"/>
          <w:sz w:val="24"/>
          <w:szCs w:val="28"/>
          <w:highlight w:val="none"/>
          <w14:textFill>
            <w14:solidFill>
              <w14:schemeClr w14:val="tx1"/>
            </w14:solidFill>
          </w14:textFill>
        </w:rPr>
        <w:t>。</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3.</w:t>
      </w:r>
      <w:r>
        <w:rPr>
          <w:rFonts w:ascii="宋体" w:hAnsi="宋体"/>
          <w:color w:val="000000" w:themeColor="text1"/>
          <w:sz w:val="24"/>
          <w:szCs w:val="28"/>
          <w:highlight w:val="none"/>
          <w14:textFill>
            <w14:solidFill>
              <w14:schemeClr w14:val="tx1"/>
            </w14:solidFill>
          </w14:textFill>
        </w:rPr>
        <w:t xml:space="preserve"> 行政相对人提供的各项资料为复印件的，均</w:t>
      </w:r>
      <w:r>
        <w:rPr>
          <w:rFonts w:hint="eastAsia" w:ascii="宋体" w:hAnsi="宋体"/>
          <w:color w:val="000000" w:themeColor="text1"/>
          <w:sz w:val="24"/>
          <w:szCs w:val="28"/>
          <w:highlight w:val="none"/>
          <w14:textFill>
            <w14:solidFill>
              <w14:schemeClr w14:val="tx1"/>
            </w14:solidFill>
          </w14:textFill>
        </w:rPr>
        <w:t>需</w:t>
      </w:r>
      <w:r>
        <w:rPr>
          <w:rFonts w:ascii="宋体" w:hAnsi="宋体"/>
          <w:color w:val="000000" w:themeColor="text1"/>
          <w:sz w:val="24"/>
          <w:szCs w:val="28"/>
          <w:highlight w:val="none"/>
          <w14:textFill>
            <w14:solidFill>
              <w14:schemeClr w14:val="tx1"/>
            </w14:solidFill>
          </w14:textFill>
        </w:rPr>
        <w:t>注明“与原件一致”并签章。</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4.</w:t>
      </w:r>
      <w:r>
        <w:rPr>
          <w:rFonts w:ascii="宋体" w:hAnsi="宋体"/>
          <w:color w:val="000000" w:themeColor="text1"/>
          <w:sz w:val="24"/>
          <w:szCs w:val="28"/>
          <w:highlight w:val="none"/>
          <w14:textFill>
            <w14:solidFill>
              <w14:schemeClr w14:val="tx1"/>
            </w14:solidFill>
          </w14:textFill>
        </w:rPr>
        <w:t>税务师事务所分所的行政登记变更参照本事项办理。</w:t>
      </w:r>
    </w:p>
    <w:p>
      <w:pPr>
        <w:wordWrap w:val="0"/>
        <w:spacing w:beforeLines="100" w:afterLines="100" w:line="360" w:lineRule="auto"/>
        <w:ind w:firstLine="562" w:firstLineChars="200"/>
        <w:outlineLvl w:val="2"/>
        <w:rPr>
          <w:rFonts w:eastAsia="黑体" w:cs="Times New Roman"/>
          <w:b/>
          <w:bCs/>
          <w:color w:val="000000" w:themeColor="text1"/>
          <w:kern w:val="24"/>
          <w:sz w:val="28"/>
          <w:szCs w:val="28"/>
          <w:highlight w:val="none"/>
          <w14:textFill>
            <w14:solidFill>
              <w14:schemeClr w14:val="tx1"/>
            </w14:solidFill>
          </w14:textFill>
        </w:rPr>
      </w:pPr>
      <w:bookmarkStart w:id="4" w:name="_Toc9231"/>
      <w:r>
        <w:rPr>
          <w:rFonts w:hint="eastAsia" w:ascii="Times New Roman" w:hAnsi="Times New Roman" w:eastAsia="黑体" w:cs="Times New Roman"/>
          <w:b/>
          <w:bCs/>
          <w:color w:val="000000" w:themeColor="text1"/>
          <w:kern w:val="24"/>
          <w:sz w:val="28"/>
          <w:szCs w:val="28"/>
          <w:highlight w:val="none"/>
          <w14:textFill>
            <w14:solidFill>
              <w14:schemeClr w14:val="tx1"/>
            </w14:solidFill>
          </w14:textFill>
        </w:rPr>
        <w:t>14.</w:t>
      </w:r>
      <w:r>
        <w:rPr>
          <w:rFonts w:hint="eastAsia" w:ascii="Times New Roman" w:hAnsi="Times New Roman" w:eastAsia="黑体" w:cs="Times New Roman"/>
          <w:b/>
          <w:bCs/>
          <w:color w:val="000000" w:themeColor="text1"/>
          <w:kern w:val="24"/>
          <w:sz w:val="28"/>
          <w:szCs w:val="28"/>
          <w:highlight w:val="none"/>
          <w:lang w:val="en-US" w:eastAsia="zh-CN"/>
          <w14:textFill>
            <w14:solidFill>
              <w14:schemeClr w14:val="tx1"/>
            </w14:solidFill>
          </w14:textFill>
        </w:rPr>
        <w:t>2</w:t>
      </w:r>
      <w:r>
        <w:rPr>
          <w:rFonts w:eastAsia="黑体" w:cs="Times New Roman"/>
          <w:b/>
          <w:bCs/>
          <w:color w:val="000000" w:themeColor="text1"/>
          <w:kern w:val="24"/>
          <w:sz w:val="28"/>
          <w:szCs w:val="28"/>
          <w:highlight w:val="none"/>
          <w14:textFill>
            <w14:solidFill>
              <w14:schemeClr w14:val="tx1"/>
            </w14:solidFill>
          </w14:textFill>
        </w:rPr>
        <w:t>—</w:t>
      </w:r>
      <w:r>
        <w:rPr>
          <w:rFonts w:hint="eastAsia" w:ascii="Times New Roman" w:hAnsi="Times New Roman" w:eastAsia="黑体" w:cs="Times New Roman"/>
          <w:b/>
          <w:bCs/>
          <w:color w:val="000000" w:themeColor="text1"/>
          <w:kern w:val="24"/>
          <w:sz w:val="28"/>
          <w:szCs w:val="28"/>
          <w:highlight w:val="none"/>
          <w14:textFill>
            <w14:solidFill>
              <w14:schemeClr w14:val="tx1"/>
            </w14:solidFill>
          </w14:textFill>
        </w:rPr>
        <w:t>1</w:t>
      </w:r>
      <w:r>
        <w:rPr>
          <w:rFonts w:hint="eastAsia" w:ascii="Times New Roman" w:hAnsi="Times New Roman" w:eastAsia="黑体" w:cs="Times New Roman"/>
          <w:b/>
          <w:bCs/>
          <w:color w:val="000000" w:themeColor="text1"/>
          <w:kern w:val="24"/>
          <w:sz w:val="28"/>
          <w:szCs w:val="28"/>
          <w:highlight w:val="none"/>
          <w:lang w:val="en-US" w:eastAsia="zh-CN"/>
          <w14:textFill>
            <w14:solidFill>
              <w14:schemeClr w14:val="tx1"/>
            </w14:solidFill>
          </w14:textFill>
        </w:rPr>
        <w:t>53</w:t>
      </w:r>
      <w:r>
        <w:rPr>
          <w:rFonts w:eastAsia="黑体" w:cs="Times New Roman"/>
          <w:b/>
          <w:bCs/>
          <w:color w:val="000000" w:themeColor="text1"/>
          <w:kern w:val="24"/>
          <w:sz w:val="28"/>
          <w:szCs w:val="28"/>
          <w:highlight w:val="none"/>
          <w14:textFill>
            <w14:solidFill>
              <w14:schemeClr w14:val="tx1"/>
            </w14:solidFill>
          </w14:textFill>
        </w:rPr>
        <w:t>　税务师事务所行政登记终止</w:t>
      </w:r>
      <w:bookmarkEnd w:id="4"/>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【事项名称】</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color w:val="000000" w:themeColor="text1"/>
          <w:sz w:val="24"/>
          <w:szCs w:val="28"/>
          <w:highlight w:val="none"/>
          <w14:textFill>
            <w14:solidFill>
              <w14:schemeClr w14:val="tx1"/>
            </w14:solidFill>
          </w14:textFill>
        </w:rPr>
        <w:t>税务师事务所行政登记终止</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w:t>
      </w:r>
      <w:r>
        <w:rPr>
          <w:rFonts w:hint="eastAsia" w:ascii="黑体" w:hAnsi="黑体" w:eastAsia="黑体" w:cs="Times New Roman"/>
          <w:bCs/>
          <w:color w:val="000000" w:themeColor="text1"/>
          <w:sz w:val="24"/>
          <w:szCs w:val="28"/>
          <w:highlight w:val="none"/>
          <w14:textFill>
            <w14:solidFill>
              <w14:schemeClr w14:val="tx1"/>
            </w14:solidFill>
          </w14:textFill>
        </w:rPr>
        <w:t>申请条件</w:t>
      </w:r>
      <w:r>
        <w:rPr>
          <w:rFonts w:ascii="黑体" w:hAnsi="黑体" w:eastAsia="黑体" w:cs="Times New Roman"/>
          <w:bCs/>
          <w:color w:val="000000" w:themeColor="text1"/>
          <w:sz w:val="24"/>
          <w:szCs w:val="28"/>
          <w:highlight w:val="none"/>
          <w14:textFill>
            <w14:solidFill>
              <w14:schemeClr w14:val="tx1"/>
            </w14:solidFill>
          </w14:textFill>
        </w:rPr>
        <w:t>】</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bCs/>
          <w:color w:val="000000" w:themeColor="text1"/>
          <w:sz w:val="24"/>
          <w:szCs w:val="28"/>
          <w:highlight w:val="none"/>
          <w14:textFill>
            <w14:solidFill>
              <w14:schemeClr w14:val="tx1"/>
            </w14:solidFill>
          </w14:textFill>
        </w:rPr>
        <w:t>税务师事务所在向市场监管部门办理注销登记前，应当向所在地省税务机关提交材料办理终止行政登记</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【设定依据】</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ascii="宋体" w:hAnsi="宋体"/>
          <w:bCs/>
          <w:color w:val="000000" w:themeColor="text1"/>
          <w:sz w:val="24"/>
          <w:szCs w:val="28"/>
          <w:highlight w:val="none"/>
          <w14:textFill>
            <w14:solidFill>
              <w14:schemeClr w14:val="tx1"/>
            </w14:solidFill>
          </w14:textFill>
        </w:rPr>
        <w:t>《国家税务总局关于发布&lt;税务师事务所行政登记规程（试行）&gt;的公告》（国家税务总局公告</w:t>
      </w:r>
      <w:r>
        <w:rPr>
          <w:rFonts w:hint="eastAsia" w:ascii="Times New Roman" w:hAnsi="Times New Roman" w:cs="Times New Roman"/>
          <w:bCs/>
          <w:color w:val="000000" w:themeColor="text1"/>
          <w:sz w:val="24"/>
          <w:szCs w:val="28"/>
          <w:highlight w:val="none"/>
          <w14:textFill>
            <w14:solidFill>
              <w14:schemeClr w14:val="tx1"/>
            </w14:solidFill>
          </w14:textFill>
        </w:rPr>
        <w:t>2017</w:t>
      </w:r>
      <w:r>
        <w:rPr>
          <w:rFonts w:ascii="宋体" w:hAnsi="宋体"/>
          <w:bCs/>
          <w:color w:val="000000" w:themeColor="text1"/>
          <w:sz w:val="24"/>
          <w:szCs w:val="28"/>
          <w:highlight w:val="none"/>
          <w14:textFill>
            <w14:solidFill>
              <w14:schemeClr w14:val="tx1"/>
            </w14:solidFill>
          </w14:textFill>
        </w:rPr>
        <w:t>年第</w:t>
      </w:r>
      <w:r>
        <w:rPr>
          <w:rFonts w:hint="eastAsia" w:ascii="Times New Roman" w:hAnsi="Times New Roman" w:cs="Times New Roman"/>
          <w:bCs/>
          <w:color w:val="000000" w:themeColor="text1"/>
          <w:sz w:val="24"/>
          <w:szCs w:val="28"/>
          <w:highlight w:val="none"/>
          <w14:textFill>
            <w14:solidFill>
              <w14:schemeClr w14:val="tx1"/>
            </w14:solidFill>
          </w14:textFill>
        </w:rPr>
        <w:t>31</w:t>
      </w:r>
      <w:r>
        <w:rPr>
          <w:rFonts w:ascii="宋体" w:hAnsi="宋体"/>
          <w:bCs/>
          <w:color w:val="000000" w:themeColor="text1"/>
          <w:sz w:val="24"/>
          <w:szCs w:val="28"/>
          <w:highlight w:val="none"/>
          <w14:textFill>
            <w14:solidFill>
              <w14:schemeClr w14:val="tx1"/>
            </w14:solidFill>
          </w14:textFill>
        </w:rPr>
        <w:t>号）第十条、第十一条</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【办理材料】</w:t>
      </w:r>
    </w:p>
    <w:tbl>
      <w:tblPr>
        <w:tblStyle w:val="13"/>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4535"/>
        <w:gridCol w:w="68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序号</w:t>
            </w:r>
          </w:p>
        </w:tc>
        <w:tc>
          <w:tcPr>
            <w:tcW w:w="45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数量</w:t>
            </w:r>
          </w:p>
        </w:tc>
        <w:tc>
          <w:tcPr>
            <w:tcW w:w="22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1</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ascii="黑体" w:hAnsi="黑体" w:eastAsia="黑体"/>
                <w:color w:val="000000" w:themeColor="text1"/>
                <w:sz w:val="18"/>
                <w:szCs w:val="18"/>
                <w:highlight w:val="none"/>
                <w14:textFill>
                  <w14:solidFill>
                    <w14:schemeClr w14:val="tx1"/>
                  </w14:solidFill>
                </w14:textFill>
              </w:rPr>
              <w:t>《税务师事务所变更/终止行政登记表》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2</w:t>
            </w:r>
            <w:r>
              <w:rPr>
                <w:rFonts w:ascii="黑体" w:hAnsi="黑体" w:eastAsia="黑体" w:cs="Microsoft Himalaya"/>
                <w:color w:val="000000" w:themeColor="text1"/>
                <w:sz w:val="18"/>
                <w:szCs w:val="18"/>
                <w:highlight w:val="none"/>
                <w14:textFill>
                  <w14:solidFill>
                    <w14:schemeClr w14:val="tx1"/>
                  </w14:solidFill>
                </w14:textFill>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2</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ascii="黑体" w:hAnsi="黑体" w:eastAsia="黑体"/>
                <w:color w:val="000000" w:themeColor="text1"/>
                <w:sz w:val="18"/>
                <w:szCs w:val="18"/>
                <w:highlight w:val="none"/>
                <w14:textFill>
                  <w14:solidFill>
                    <w14:schemeClr w14:val="tx1"/>
                  </w14:solidFill>
                </w14:textFill>
              </w:rPr>
              <w:t>《税务师事务所行政登记证书》</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1</w:t>
            </w:r>
            <w:r>
              <w:rPr>
                <w:rFonts w:ascii="黑体" w:hAnsi="黑体" w:eastAsia="黑体" w:cs="Microsoft Himalaya"/>
                <w:color w:val="000000" w:themeColor="text1"/>
                <w:sz w:val="18"/>
                <w:szCs w:val="18"/>
                <w:highlight w:val="none"/>
                <w14:textFill>
                  <w14:solidFill>
                    <w14:schemeClr w14:val="tx1"/>
                  </w14:solidFill>
                </w14:textFill>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p>
        </w:tc>
      </w:tr>
    </w:tbl>
    <w:p>
      <w:pPr>
        <w:wordWrap w:val="0"/>
        <w:spacing w:line="360" w:lineRule="auto"/>
        <w:ind w:firstLine="480"/>
        <w:rPr>
          <w:rFonts w:ascii="宋体" w:hAnsi="宋体"/>
          <w:b/>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【办理地点】</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color w:val="000000" w:themeColor="text1"/>
          <w:sz w:val="24"/>
          <w:szCs w:val="28"/>
          <w:highlight w:val="none"/>
          <w14:textFill>
            <w14:solidFill>
              <w14:schemeClr w14:val="tx1"/>
            </w14:solidFill>
          </w14:textFill>
        </w:rPr>
        <w:t>机构所在地的省税务机关</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【办理机构】</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color w:val="000000" w:themeColor="text1"/>
          <w:sz w:val="24"/>
          <w:szCs w:val="28"/>
          <w:highlight w:val="none"/>
          <w14:textFill>
            <w14:solidFill>
              <w14:schemeClr w14:val="tx1"/>
            </w14:solidFill>
          </w14:textFill>
        </w:rPr>
        <w:t>省税务机关纳税服务部门</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【收费标准】</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color w:val="000000" w:themeColor="text1"/>
          <w:sz w:val="24"/>
          <w:szCs w:val="28"/>
          <w:highlight w:val="none"/>
          <w14:textFill>
            <w14:solidFill>
              <w14:schemeClr w14:val="tx1"/>
            </w14:solidFill>
          </w14:textFill>
        </w:rPr>
        <w:t>不收费</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【办理时间】</w:t>
      </w:r>
    </w:p>
    <w:p>
      <w:pPr>
        <w:wordWrap w:val="0"/>
        <w:spacing w:line="360" w:lineRule="auto"/>
        <w:ind w:left="510"/>
        <w:rPr>
          <w:rFonts w:ascii="宋体" w:hAnsi="宋体"/>
          <w:color w:val="000000" w:themeColor="text1"/>
          <w:sz w:val="24"/>
          <w:szCs w:val="28"/>
          <w:highlight w:val="none"/>
          <w14:textFill>
            <w14:solidFill>
              <w14:schemeClr w14:val="tx1"/>
            </w14:solidFill>
          </w14:textFill>
        </w:rPr>
      </w:pPr>
      <w:r>
        <w:rPr>
          <w:rFonts w:ascii="宋体" w:hAnsi="宋体"/>
          <w:color w:val="000000" w:themeColor="text1"/>
          <w:sz w:val="24"/>
          <w:szCs w:val="28"/>
          <w:highlight w:val="none"/>
          <w14:textFill>
            <w14:solidFill>
              <w14:schemeClr w14:val="tx1"/>
            </w14:solidFill>
          </w14:textFill>
        </w:rPr>
        <w:t>省税务机关受理后及时办理税务师事务所终止行政登记</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【联系电话】</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color w:val="000000" w:themeColor="text1"/>
          <w:sz w:val="24"/>
          <w:szCs w:val="28"/>
          <w:highlight w:val="none"/>
          <w14:textFill>
            <w14:solidFill>
              <w14:schemeClr w14:val="tx1"/>
            </w14:solidFill>
          </w14:textFill>
        </w:rPr>
        <w:t>省税务机关对外公开的联系电话，</w:t>
      </w:r>
      <w:r>
        <w:rPr>
          <w:rFonts w:ascii="宋体" w:hAnsi="宋体" w:cs="宋体"/>
          <w:color w:val="000000" w:themeColor="text1"/>
          <w:sz w:val="24"/>
          <w:szCs w:val="28"/>
          <w:highlight w:val="none"/>
          <w14:textFill>
            <w14:solidFill>
              <w14:schemeClr w14:val="tx1"/>
            </w14:solidFill>
          </w14:textFill>
        </w:rPr>
        <w:t>可从</w:t>
      </w:r>
      <w:r>
        <w:rPr>
          <w:rFonts w:hint="eastAsia" w:ascii="宋体" w:hAnsi="宋体" w:cs="宋体"/>
          <w:color w:val="000000" w:themeColor="text1"/>
          <w:sz w:val="24"/>
          <w:szCs w:val="28"/>
          <w:highlight w:val="none"/>
          <w:lang w:eastAsia="zh-CN"/>
          <w14:textFill>
            <w14:solidFill>
              <w14:schemeClr w14:val="tx1"/>
            </w14:solidFill>
          </w14:textFill>
        </w:rPr>
        <w:t>云南省</w:t>
      </w:r>
      <w:r>
        <w:rPr>
          <w:rFonts w:ascii="宋体" w:hAnsi="宋体" w:cs="宋体"/>
          <w:color w:val="000000" w:themeColor="text1"/>
          <w:sz w:val="24"/>
          <w:szCs w:val="28"/>
          <w:highlight w:val="none"/>
          <w14:textFill>
            <w14:solidFill>
              <w14:schemeClr w14:val="tx1"/>
            </w14:solidFill>
          </w14:textFill>
        </w:rPr>
        <w:t>税务局网站“纳税服务”栏目查询。</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【办理流程】</w:t>
      </w:r>
    </w:p>
    <w:p>
      <w:pPr>
        <w:wordWrap w:val="0"/>
        <w:spacing w:line="360" w:lineRule="auto"/>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5182870" cy="1725295"/>
            <wp:effectExtent l="0" t="0" r="13970" b="12065"/>
            <wp:docPr id="135" name="图片 4" descr="C:\Users\baoqianyu\Desktop\流程图\终止行政登记.png终止行政登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4" descr="C:\Users\baoqianyu\Desktop\流程图\终止行政登记.png终止行政登记"/>
                    <pic:cNvPicPr>
                      <a:picLocks noChangeAspect="1"/>
                    </pic:cNvPicPr>
                  </pic:nvPicPr>
                  <pic:blipFill>
                    <a:blip r:embed="rId6"/>
                    <a:srcRect/>
                    <a:stretch>
                      <a:fillRect/>
                    </a:stretch>
                  </pic:blipFill>
                  <pic:spPr>
                    <a:xfrm>
                      <a:off x="0" y="0"/>
                      <a:ext cx="5182870" cy="1725295"/>
                    </a:xfrm>
                    <a:prstGeom prst="rect">
                      <a:avLst/>
                    </a:prstGeom>
                    <a:noFill/>
                    <a:ln>
                      <a:noFill/>
                    </a:ln>
                  </pic:spPr>
                </pic:pic>
              </a:graphicData>
            </a:graphic>
          </wp:inline>
        </w:drawing>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【注意事项】</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1.</w:t>
      </w:r>
      <w:r>
        <w:rPr>
          <w:rFonts w:ascii="宋体" w:hAnsi="宋体"/>
          <w:color w:val="000000" w:themeColor="text1"/>
          <w:sz w:val="24"/>
          <w:szCs w:val="28"/>
          <w:highlight w:val="none"/>
          <w14:textFill>
            <w14:solidFill>
              <w14:schemeClr w14:val="tx1"/>
            </w14:solidFill>
          </w14:textFill>
        </w:rPr>
        <w:t>行政相对人对报送材料的真实性和合法性承担责任。</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2.</w:t>
      </w:r>
      <w:r>
        <w:rPr>
          <w:rFonts w:hint="eastAsia" w:ascii="宋体" w:hAnsi="宋体" w:cs="Times New Roman"/>
          <w:color w:val="000000" w:themeColor="text1"/>
          <w:sz w:val="24"/>
          <w:szCs w:val="28"/>
          <w:highlight w:val="none"/>
          <w:lang w:eastAsia="zh-CN"/>
          <w14:textFill>
            <w14:solidFill>
              <w14:schemeClr w14:val="tx1"/>
            </w14:solidFill>
          </w14:textFill>
        </w:rPr>
        <w:t>文书表单可在云南省税务局网站“下载中心”栏目查询下载或到办税服务厅领取</w:t>
      </w:r>
      <w:r>
        <w:rPr>
          <w:rFonts w:ascii="宋体" w:hAnsi="宋体" w:cs="Times New Roman"/>
          <w:color w:val="000000" w:themeColor="text1"/>
          <w:sz w:val="24"/>
          <w:szCs w:val="28"/>
          <w:highlight w:val="none"/>
          <w14:textFill>
            <w14:solidFill>
              <w14:schemeClr w14:val="tx1"/>
            </w14:solidFill>
          </w14:textFill>
        </w:rPr>
        <w:t>。</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3.</w:t>
      </w:r>
      <w:r>
        <w:rPr>
          <w:rFonts w:ascii="宋体" w:hAnsi="宋体"/>
          <w:color w:val="000000" w:themeColor="text1"/>
          <w:sz w:val="24"/>
          <w:szCs w:val="28"/>
          <w:highlight w:val="none"/>
          <w14:textFill>
            <w14:solidFill>
              <w14:schemeClr w14:val="tx1"/>
            </w14:solidFill>
          </w14:textFill>
        </w:rPr>
        <w:t>税务师事务所应在向市场监管部门办理注销登记前向所在地省税务机关提交材料办理终止行政登记。税务师事务所在向市场监管部门办理注销登记前没有办理终止行政登记的，由省税务机关宣布《税务师事务所行政登记证书》失效。</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4.</w:t>
      </w:r>
      <w:r>
        <w:rPr>
          <w:rFonts w:ascii="宋体" w:hAnsi="宋体"/>
          <w:color w:val="000000" w:themeColor="text1"/>
          <w:sz w:val="24"/>
          <w:szCs w:val="28"/>
          <w:highlight w:val="none"/>
          <w14:textFill>
            <w14:solidFill>
              <w14:schemeClr w14:val="tx1"/>
            </w14:solidFill>
          </w14:textFill>
        </w:rPr>
        <w:t>税务师事务所分所的行政登记终止参照本事项办理。</w:t>
      </w:r>
    </w:p>
    <w:p>
      <w:pPr>
        <w:wordWrap w:val="0"/>
        <w:spacing w:beforeLines="100" w:afterLines="100" w:line="360" w:lineRule="auto"/>
        <w:ind w:firstLine="562" w:firstLineChars="200"/>
        <w:outlineLvl w:val="2"/>
        <w:rPr>
          <w:rFonts w:eastAsia="黑体" w:cs="Times New Roman"/>
          <w:b/>
          <w:bCs/>
          <w:color w:val="000000" w:themeColor="text1"/>
          <w:kern w:val="24"/>
          <w:sz w:val="28"/>
          <w:szCs w:val="28"/>
          <w:highlight w:val="none"/>
          <w14:textFill>
            <w14:solidFill>
              <w14:schemeClr w14:val="tx1"/>
            </w14:solidFill>
          </w14:textFill>
        </w:rPr>
      </w:pPr>
      <w:bookmarkStart w:id="5" w:name="_Toc17030"/>
      <w:r>
        <w:rPr>
          <w:rFonts w:hint="eastAsia" w:ascii="Times New Roman" w:hAnsi="Times New Roman" w:eastAsia="黑体" w:cs="Times New Roman"/>
          <w:b/>
          <w:bCs/>
          <w:color w:val="000000" w:themeColor="text1"/>
          <w:kern w:val="24"/>
          <w:sz w:val="28"/>
          <w:szCs w:val="28"/>
          <w:highlight w:val="none"/>
          <w14:textFill>
            <w14:solidFill>
              <w14:schemeClr w14:val="tx1"/>
            </w14:solidFill>
          </w14:textFill>
        </w:rPr>
        <w:t>14.</w:t>
      </w:r>
      <w:r>
        <w:rPr>
          <w:rFonts w:hint="eastAsia" w:ascii="Times New Roman" w:hAnsi="Times New Roman" w:eastAsia="黑体" w:cs="Times New Roman"/>
          <w:b/>
          <w:bCs/>
          <w:color w:val="000000" w:themeColor="text1"/>
          <w:kern w:val="24"/>
          <w:sz w:val="28"/>
          <w:szCs w:val="28"/>
          <w:highlight w:val="none"/>
          <w:lang w:val="en-US" w:eastAsia="zh-CN"/>
          <w14:textFill>
            <w14:solidFill>
              <w14:schemeClr w14:val="tx1"/>
            </w14:solidFill>
          </w14:textFill>
        </w:rPr>
        <w:t>3</w:t>
      </w:r>
      <w:r>
        <w:rPr>
          <w:rFonts w:eastAsia="黑体" w:cs="Times New Roman"/>
          <w:b/>
          <w:bCs/>
          <w:color w:val="000000" w:themeColor="text1"/>
          <w:kern w:val="24"/>
          <w:sz w:val="28"/>
          <w:szCs w:val="28"/>
          <w:highlight w:val="none"/>
          <w14:textFill>
            <w14:solidFill>
              <w14:schemeClr w14:val="tx1"/>
            </w14:solidFill>
          </w14:textFill>
        </w:rPr>
        <w:t>—</w:t>
      </w:r>
      <w:r>
        <w:rPr>
          <w:rFonts w:hint="eastAsia" w:ascii="Times New Roman" w:hAnsi="Times New Roman" w:eastAsia="黑体" w:cs="Times New Roman"/>
          <w:b/>
          <w:bCs/>
          <w:color w:val="000000" w:themeColor="text1"/>
          <w:kern w:val="24"/>
          <w:sz w:val="28"/>
          <w:szCs w:val="28"/>
          <w:highlight w:val="none"/>
          <w14:textFill>
            <w14:solidFill>
              <w14:schemeClr w14:val="tx1"/>
            </w14:solidFill>
          </w14:textFill>
        </w:rPr>
        <w:t>1</w:t>
      </w:r>
      <w:r>
        <w:rPr>
          <w:rFonts w:hint="eastAsia" w:ascii="Times New Roman" w:hAnsi="Times New Roman" w:eastAsia="黑体" w:cs="Times New Roman"/>
          <w:b/>
          <w:bCs/>
          <w:color w:val="000000" w:themeColor="text1"/>
          <w:kern w:val="24"/>
          <w:sz w:val="28"/>
          <w:szCs w:val="28"/>
          <w:highlight w:val="none"/>
          <w:lang w:val="en-US" w:eastAsia="zh-CN"/>
          <w14:textFill>
            <w14:solidFill>
              <w14:schemeClr w14:val="tx1"/>
            </w14:solidFill>
          </w14:textFill>
        </w:rPr>
        <w:t>54</w:t>
      </w:r>
      <w:r>
        <w:rPr>
          <w:rFonts w:eastAsia="黑体" w:cs="Times New Roman"/>
          <w:b/>
          <w:bCs/>
          <w:color w:val="000000" w:themeColor="text1"/>
          <w:kern w:val="24"/>
          <w:sz w:val="28"/>
          <w:szCs w:val="28"/>
          <w:highlight w:val="none"/>
          <w14:textFill>
            <w14:solidFill>
              <w14:schemeClr w14:val="tx1"/>
            </w14:solidFill>
          </w14:textFill>
        </w:rPr>
        <w:t>　涉税专业服务机构（人员）基本信息报送</w:t>
      </w:r>
      <w:bookmarkEnd w:id="5"/>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【事项名称】</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color w:val="000000" w:themeColor="text1"/>
          <w:sz w:val="24"/>
          <w:szCs w:val="28"/>
          <w:highlight w:val="none"/>
          <w14:textFill>
            <w14:solidFill>
              <w14:schemeClr w14:val="tx1"/>
            </w14:solidFill>
          </w14:textFill>
        </w:rPr>
        <w:t>涉税专业服务机构（人员）基本信息报送</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w:t>
      </w:r>
      <w:r>
        <w:rPr>
          <w:rFonts w:hint="eastAsia" w:ascii="黑体" w:hAnsi="黑体" w:eastAsia="黑体" w:cs="Times New Roman"/>
          <w:bCs/>
          <w:color w:val="000000" w:themeColor="text1"/>
          <w:sz w:val="24"/>
          <w:szCs w:val="28"/>
          <w:highlight w:val="none"/>
          <w14:textFill>
            <w14:solidFill>
              <w14:schemeClr w14:val="tx1"/>
            </w14:solidFill>
          </w14:textFill>
        </w:rPr>
        <w:t>申请条件</w:t>
      </w:r>
      <w:r>
        <w:rPr>
          <w:rFonts w:ascii="黑体" w:hAnsi="黑体" w:eastAsia="黑体" w:cs="Times New Roman"/>
          <w:bCs/>
          <w:color w:val="000000" w:themeColor="text1"/>
          <w:sz w:val="24"/>
          <w:szCs w:val="28"/>
          <w:highlight w:val="none"/>
          <w14:textFill>
            <w14:solidFill>
              <w14:schemeClr w14:val="tx1"/>
            </w14:solidFill>
          </w14:textFill>
        </w:rPr>
        <w:t>】</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bCs/>
          <w:color w:val="000000" w:themeColor="text1"/>
          <w:sz w:val="24"/>
          <w:szCs w:val="28"/>
          <w:highlight w:val="none"/>
          <w14:textFill>
            <w14:solidFill>
              <w14:schemeClr w14:val="tx1"/>
            </w14:solidFill>
          </w14:textFill>
        </w:rPr>
        <w:t>涉税专业服务机构首次报送基本信息的应当于首次提供涉税专业服务前、基本信息发生变更的应当自变更之日起</w:t>
      </w:r>
      <w:r>
        <w:rPr>
          <w:rFonts w:hint="eastAsia" w:ascii="Times New Roman" w:hAnsi="Times New Roman" w:cs="Times New Roman"/>
          <w:bCs/>
          <w:color w:val="000000" w:themeColor="text1"/>
          <w:sz w:val="24"/>
          <w:szCs w:val="28"/>
          <w:highlight w:val="none"/>
          <w14:textFill>
            <w14:solidFill>
              <w14:schemeClr w14:val="tx1"/>
            </w14:solidFill>
          </w14:textFill>
        </w:rPr>
        <w:t>30</w:t>
      </w:r>
      <w:r>
        <w:rPr>
          <w:rFonts w:ascii="宋体" w:hAnsi="宋体"/>
          <w:bCs/>
          <w:color w:val="000000" w:themeColor="text1"/>
          <w:sz w:val="24"/>
          <w:szCs w:val="28"/>
          <w:highlight w:val="none"/>
          <w14:textFill>
            <w14:solidFill>
              <w14:schemeClr w14:val="tx1"/>
            </w14:solidFill>
          </w14:textFill>
        </w:rPr>
        <w:t>日内、暂时停止提供涉税专业服务的应当于完成或终止全部涉税专业服务协议后、恢复提供涉税专业服务的应当于恢复后首次提供涉税专业服务前办理涉税专业服务机构（人员）基本信息报送。</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【设定依据】</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hint="eastAsia" w:ascii="Times New Roman" w:hAnsi="Times New Roman" w:cs="Times New Roman"/>
          <w:bCs/>
          <w:color w:val="000000" w:themeColor="text1"/>
          <w:sz w:val="24"/>
          <w:szCs w:val="28"/>
          <w:highlight w:val="none"/>
          <w14:textFill>
            <w14:solidFill>
              <w14:schemeClr w14:val="tx1"/>
            </w14:solidFill>
          </w14:textFill>
        </w:rPr>
        <w:t>1.</w:t>
      </w:r>
      <w:r>
        <w:rPr>
          <w:rFonts w:ascii="宋体" w:hAnsi="宋体"/>
          <w:bCs/>
          <w:color w:val="000000" w:themeColor="text1"/>
          <w:sz w:val="24"/>
          <w:szCs w:val="28"/>
          <w:highlight w:val="none"/>
          <w14:textFill>
            <w14:solidFill>
              <w14:schemeClr w14:val="tx1"/>
            </w14:solidFill>
          </w14:textFill>
        </w:rPr>
        <w:t>《国家税务总局关于发布&lt;涉税专业服务监管办法（试行）&gt;的公告》（国家税务总局公告</w:t>
      </w:r>
      <w:r>
        <w:rPr>
          <w:rFonts w:hint="eastAsia" w:ascii="Times New Roman" w:hAnsi="Times New Roman" w:cs="Times New Roman"/>
          <w:bCs/>
          <w:color w:val="000000" w:themeColor="text1"/>
          <w:sz w:val="24"/>
          <w:szCs w:val="28"/>
          <w:highlight w:val="none"/>
          <w14:textFill>
            <w14:solidFill>
              <w14:schemeClr w14:val="tx1"/>
            </w14:solidFill>
          </w14:textFill>
        </w:rPr>
        <w:t>2017</w:t>
      </w:r>
      <w:r>
        <w:rPr>
          <w:rFonts w:ascii="宋体" w:hAnsi="宋体"/>
          <w:bCs/>
          <w:color w:val="000000" w:themeColor="text1"/>
          <w:sz w:val="24"/>
          <w:szCs w:val="28"/>
          <w:highlight w:val="none"/>
          <w14:textFill>
            <w14:solidFill>
              <w14:schemeClr w14:val="tx1"/>
            </w14:solidFill>
          </w14:textFill>
        </w:rPr>
        <w:t>年第</w:t>
      </w:r>
      <w:r>
        <w:rPr>
          <w:rFonts w:hint="eastAsia" w:ascii="Times New Roman" w:hAnsi="Times New Roman" w:cs="Times New Roman"/>
          <w:bCs/>
          <w:color w:val="000000" w:themeColor="text1"/>
          <w:sz w:val="24"/>
          <w:szCs w:val="28"/>
          <w:highlight w:val="none"/>
          <w14:textFill>
            <w14:solidFill>
              <w14:schemeClr w14:val="tx1"/>
            </w14:solidFill>
          </w14:textFill>
        </w:rPr>
        <w:t>13</w:t>
      </w:r>
      <w:r>
        <w:rPr>
          <w:rFonts w:ascii="宋体" w:hAnsi="宋体"/>
          <w:bCs/>
          <w:color w:val="000000" w:themeColor="text1"/>
          <w:sz w:val="24"/>
          <w:szCs w:val="28"/>
          <w:highlight w:val="none"/>
          <w14:textFill>
            <w14:solidFill>
              <w14:schemeClr w14:val="tx1"/>
            </w14:solidFill>
          </w14:textFill>
        </w:rPr>
        <w:t>号）第八条</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hint="eastAsia" w:ascii="Times New Roman" w:hAnsi="Times New Roman" w:cs="Times New Roman"/>
          <w:bCs/>
          <w:color w:val="000000" w:themeColor="text1"/>
          <w:sz w:val="24"/>
          <w:szCs w:val="28"/>
          <w:highlight w:val="none"/>
          <w14:textFill>
            <w14:solidFill>
              <w14:schemeClr w14:val="tx1"/>
            </w14:solidFill>
          </w14:textFill>
        </w:rPr>
        <w:t>2.</w:t>
      </w:r>
      <w:r>
        <w:rPr>
          <w:rFonts w:ascii="宋体" w:hAnsi="宋体"/>
          <w:bCs/>
          <w:color w:val="000000" w:themeColor="text1"/>
          <w:sz w:val="24"/>
          <w:szCs w:val="28"/>
          <w:highlight w:val="none"/>
          <w14:textFill>
            <w14:solidFill>
              <w14:schemeClr w14:val="tx1"/>
            </w14:solidFill>
          </w14:textFill>
        </w:rPr>
        <w:t>《国家税务总局关于采集涉税专业服务基本信息和业务信息有关事项的公告》（国家税务总局公告</w:t>
      </w:r>
      <w:r>
        <w:rPr>
          <w:rFonts w:hint="eastAsia" w:ascii="Times New Roman" w:hAnsi="Times New Roman" w:cs="Times New Roman"/>
          <w:bCs/>
          <w:color w:val="000000" w:themeColor="text1"/>
          <w:sz w:val="24"/>
          <w:szCs w:val="28"/>
          <w:highlight w:val="none"/>
          <w14:textFill>
            <w14:solidFill>
              <w14:schemeClr w14:val="tx1"/>
            </w14:solidFill>
          </w14:textFill>
        </w:rPr>
        <w:t>2017</w:t>
      </w:r>
      <w:r>
        <w:rPr>
          <w:rFonts w:ascii="宋体" w:hAnsi="宋体"/>
          <w:bCs/>
          <w:color w:val="000000" w:themeColor="text1"/>
          <w:sz w:val="24"/>
          <w:szCs w:val="28"/>
          <w:highlight w:val="none"/>
          <w14:textFill>
            <w14:solidFill>
              <w14:schemeClr w14:val="tx1"/>
            </w14:solidFill>
          </w14:textFill>
        </w:rPr>
        <w:t>年第</w:t>
      </w:r>
      <w:r>
        <w:rPr>
          <w:rFonts w:hint="eastAsia" w:ascii="Times New Roman" w:hAnsi="Times New Roman" w:cs="Times New Roman"/>
          <w:bCs/>
          <w:color w:val="000000" w:themeColor="text1"/>
          <w:sz w:val="24"/>
          <w:szCs w:val="28"/>
          <w:highlight w:val="none"/>
          <w14:textFill>
            <w14:solidFill>
              <w14:schemeClr w14:val="tx1"/>
            </w14:solidFill>
          </w14:textFill>
        </w:rPr>
        <w:t>49</w:t>
      </w:r>
      <w:r>
        <w:rPr>
          <w:rFonts w:ascii="宋体" w:hAnsi="宋体"/>
          <w:bCs/>
          <w:color w:val="000000" w:themeColor="text1"/>
          <w:sz w:val="24"/>
          <w:szCs w:val="28"/>
          <w:highlight w:val="none"/>
          <w14:textFill>
            <w14:solidFill>
              <w14:schemeClr w14:val="tx1"/>
            </w14:solidFill>
          </w14:textFill>
        </w:rPr>
        <w:t>号）第一条</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【办理材料】</w:t>
      </w:r>
    </w:p>
    <w:tbl>
      <w:tblPr>
        <w:tblStyle w:val="13"/>
        <w:tblW w:w="81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4535"/>
        <w:gridCol w:w="680"/>
        <w:gridCol w:w="2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序号</w:t>
            </w:r>
          </w:p>
        </w:tc>
        <w:tc>
          <w:tcPr>
            <w:tcW w:w="45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数量</w:t>
            </w:r>
          </w:p>
        </w:tc>
        <w:tc>
          <w:tcPr>
            <w:tcW w:w="2266"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1</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ascii="黑体" w:hAnsi="黑体" w:eastAsia="黑体"/>
                <w:color w:val="000000" w:themeColor="text1"/>
                <w:sz w:val="18"/>
                <w:szCs w:val="18"/>
                <w:highlight w:val="none"/>
                <w14:textFill>
                  <w14:solidFill>
                    <w14:schemeClr w14:val="tx1"/>
                  </w14:solidFill>
                </w14:textFill>
              </w:rPr>
              <w:t>《涉税专业服务机构（人员）基本信息采集表》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2</w:t>
            </w:r>
            <w:r>
              <w:rPr>
                <w:rFonts w:ascii="黑体" w:hAnsi="黑体" w:eastAsia="黑体" w:cs="Microsoft Himalaya"/>
                <w:color w:val="000000" w:themeColor="text1"/>
                <w:sz w:val="18"/>
                <w:szCs w:val="18"/>
                <w:highlight w:val="none"/>
                <w14:textFill>
                  <w14:solidFill>
                    <w14:schemeClr w14:val="tx1"/>
                  </w14:solidFill>
                </w14:textFill>
              </w:rPr>
              <w:t>份</w:t>
            </w:r>
          </w:p>
        </w:tc>
        <w:tc>
          <w:tcPr>
            <w:tcW w:w="2266"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r>
              <w:rPr>
                <w:rFonts w:ascii="黑体" w:hAnsi="黑体" w:eastAsia="黑体" w:cs="Microsoft Himalaya"/>
                <w:color w:val="000000" w:themeColor="text1"/>
                <w:sz w:val="18"/>
                <w:szCs w:val="18"/>
                <w:highlight w:val="none"/>
                <w14:textFill>
                  <w14:solidFill>
                    <w14:schemeClr w14:val="tx1"/>
                  </w14:solidFill>
                </w14:textFill>
              </w:rPr>
              <w:t>税务机关和涉税专业服务机构各留存一份</w:t>
            </w:r>
          </w:p>
        </w:tc>
      </w:tr>
    </w:tbl>
    <w:p>
      <w:pPr>
        <w:wordWrap w:val="0"/>
        <w:spacing w:line="360" w:lineRule="auto"/>
        <w:ind w:firstLine="480"/>
        <w:rPr>
          <w:rFonts w:ascii="宋体" w:hAnsi="宋体"/>
          <w:b/>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【办理地点】</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可通过电子税务局</w:t>
      </w:r>
      <w:r>
        <w:rPr>
          <w:rFonts w:hint="eastAsia" w:ascii="宋体" w:hAnsi="宋体" w:eastAsia="宋体" w:cstheme="minorBidi"/>
          <w:bCs w:val="0"/>
          <w:highlight w:val="none"/>
          <w:lang w:eastAsia="zh-CN"/>
        </w:rPr>
        <w:t>（http://etax.yunnan.chinatax.gov.cn）</w:t>
      </w:r>
      <w:r>
        <w:rPr>
          <w:rFonts w:ascii="宋体" w:hAnsi="宋体" w:cs="Times New Roman"/>
          <w:color w:val="000000" w:themeColor="text1"/>
          <w:sz w:val="24"/>
          <w:szCs w:val="28"/>
          <w:highlight w:val="none"/>
          <w14:textFill>
            <w14:solidFill>
              <w14:schemeClr w14:val="tx1"/>
            </w14:solidFill>
          </w14:textFill>
        </w:rPr>
        <w:t>、办税服务厅（场所）办理，具体地点可从</w:t>
      </w:r>
      <w:r>
        <w:rPr>
          <w:rFonts w:hint="eastAsia" w:ascii="宋体" w:hAnsi="宋体" w:cs="Times New Roman"/>
          <w:color w:val="000000" w:themeColor="text1"/>
          <w:sz w:val="24"/>
          <w:szCs w:val="28"/>
          <w:highlight w:val="none"/>
          <w:lang w:eastAsia="zh-CN"/>
          <w14:textFill>
            <w14:solidFill>
              <w14:schemeClr w14:val="tx1"/>
            </w14:solidFill>
          </w14:textFill>
        </w:rPr>
        <w:t>云南省</w:t>
      </w:r>
      <w:r>
        <w:rPr>
          <w:rFonts w:ascii="宋体" w:hAnsi="宋体" w:cs="Times New Roman"/>
          <w:color w:val="000000" w:themeColor="text1"/>
          <w:sz w:val="24"/>
          <w:szCs w:val="28"/>
          <w:highlight w:val="none"/>
          <w14:textFill>
            <w14:solidFill>
              <w14:schemeClr w14:val="tx1"/>
            </w14:solidFill>
          </w14:textFill>
        </w:rPr>
        <w:t>税务局网站“纳税服务”栏目查询。</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【办理机构】</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主管税务机关</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【收费标准】</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不收费</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【办理时间】</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即时办结</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【联系电话】</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主管税务机关对外公开的联系电话，可从</w:t>
      </w:r>
      <w:r>
        <w:rPr>
          <w:rFonts w:hint="eastAsia" w:ascii="宋体" w:hAnsi="宋体" w:cs="Times New Roman"/>
          <w:color w:val="000000" w:themeColor="text1"/>
          <w:sz w:val="24"/>
          <w:szCs w:val="28"/>
          <w:highlight w:val="none"/>
          <w:lang w:eastAsia="zh-CN"/>
          <w14:textFill>
            <w14:solidFill>
              <w14:schemeClr w14:val="tx1"/>
            </w14:solidFill>
          </w14:textFill>
        </w:rPr>
        <w:t>云南省</w:t>
      </w:r>
      <w:r>
        <w:rPr>
          <w:rFonts w:ascii="宋体" w:hAnsi="宋体" w:cs="Times New Roman"/>
          <w:color w:val="000000" w:themeColor="text1"/>
          <w:sz w:val="24"/>
          <w:szCs w:val="28"/>
          <w:highlight w:val="none"/>
          <w14:textFill>
            <w14:solidFill>
              <w14:schemeClr w14:val="tx1"/>
            </w14:solidFill>
          </w14:textFill>
        </w:rPr>
        <w:t>税务局网站“纳税服务”栏目查询。</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【办理流程】</w:t>
      </w:r>
    </w:p>
    <w:p>
      <w:pPr>
        <w:wordWrap w:val="0"/>
        <w:spacing w:line="360" w:lineRule="auto"/>
        <w:jc w:val="left"/>
        <w:rPr>
          <w:rFonts w:ascii="宋体" w:hAnsi="宋体"/>
          <w:b/>
          <w:color w:val="000000" w:themeColor="text1"/>
          <w:highlight w:val="none"/>
          <w14:textFill>
            <w14:solidFill>
              <w14:schemeClr w14:val="tx1"/>
            </w14:solidFill>
          </w14:textFill>
        </w:rPr>
      </w:pPr>
      <w:r>
        <w:rPr>
          <w:rFonts w:ascii="宋体" w:hAnsi="宋体"/>
          <w:b/>
          <w:color w:val="000000" w:themeColor="text1"/>
          <w:highlight w:val="none"/>
          <w14:textFill>
            <w14:solidFill>
              <w14:schemeClr w14:val="tx1"/>
            </w14:solidFill>
          </w14:textFill>
        </w:rPr>
        <w:drawing>
          <wp:inline distT="0" distB="0" distL="114300" distR="114300">
            <wp:extent cx="5184140" cy="1769745"/>
            <wp:effectExtent l="0" t="0" r="12700" b="0"/>
            <wp:docPr id="136" name="图片 136" descr="C:\Users\baoqianyu\Desktop\流程图\即办\涉税专业服务机构.png涉税专业服务机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36" descr="C:\Users\baoqianyu\Desktop\流程图\即办\涉税专业服务机构.png涉税专业服务机构"/>
                    <pic:cNvPicPr>
                      <a:picLocks noChangeAspect="1"/>
                    </pic:cNvPicPr>
                  </pic:nvPicPr>
                  <pic:blipFill>
                    <a:blip r:embed="rId7"/>
                    <a:srcRect/>
                    <a:stretch>
                      <a:fillRect/>
                    </a:stretch>
                  </pic:blipFill>
                  <pic:spPr>
                    <a:xfrm>
                      <a:off x="0" y="0"/>
                      <a:ext cx="5184140" cy="1769745"/>
                    </a:xfrm>
                    <a:prstGeom prst="rect">
                      <a:avLst/>
                    </a:prstGeom>
                  </pic:spPr>
                </pic:pic>
              </a:graphicData>
            </a:graphic>
          </wp:inline>
        </w:drawing>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【注意事项】</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1.</w:t>
      </w:r>
      <w:r>
        <w:rPr>
          <w:rFonts w:ascii="宋体" w:hAnsi="宋体"/>
          <w:color w:val="000000" w:themeColor="text1"/>
          <w:sz w:val="24"/>
          <w:szCs w:val="28"/>
          <w:highlight w:val="none"/>
          <w14:textFill>
            <w14:solidFill>
              <w14:schemeClr w14:val="tx1"/>
            </w14:solidFill>
          </w14:textFill>
        </w:rPr>
        <w:t>涉税专业服务机构应主动报送相关信息并对信息的真实性、完整性、合法性和准确性负责。</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2.</w:t>
      </w:r>
      <w:r>
        <w:rPr>
          <w:rFonts w:hint="eastAsia" w:ascii="宋体" w:hAnsi="宋体" w:cs="Times New Roman"/>
          <w:color w:val="000000" w:themeColor="text1"/>
          <w:sz w:val="24"/>
          <w:szCs w:val="28"/>
          <w:highlight w:val="none"/>
          <w:lang w:eastAsia="zh-CN"/>
          <w14:textFill>
            <w14:solidFill>
              <w14:schemeClr w14:val="tx1"/>
            </w14:solidFill>
          </w14:textFill>
        </w:rPr>
        <w:t>文书表单可在云南省税务局网站“下载中心”栏目查询下载或到办税服务厅领取</w:t>
      </w:r>
      <w:r>
        <w:rPr>
          <w:rFonts w:ascii="宋体" w:hAnsi="宋体" w:cs="Times New Roman"/>
          <w:color w:val="000000" w:themeColor="text1"/>
          <w:sz w:val="24"/>
          <w:szCs w:val="28"/>
          <w:highlight w:val="none"/>
          <w14:textFill>
            <w14:solidFill>
              <w14:schemeClr w14:val="tx1"/>
            </w14:solidFill>
          </w14:textFill>
        </w:rPr>
        <w:t>。</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3.</w:t>
      </w:r>
      <w:r>
        <w:rPr>
          <w:rFonts w:ascii="宋体" w:hAnsi="宋体"/>
          <w:color w:val="000000" w:themeColor="text1"/>
          <w:sz w:val="24"/>
          <w:szCs w:val="28"/>
          <w:highlight w:val="none"/>
          <w14:textFill>
            <w14:solidFill>
              <w14:schemeClr w14:val="tx1"/>
            </w14:solidFill>
          </w14:textFill>
        </w:rPr>
        <w:t>税务师事务所应当先办理税务师事务所行政登记，取得《税务师事务所行政登记证书》。</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4.</w:t>
      </w:r>
      <w:r>
        <w:rPr>
          <w:rFonts w:ascii="宋体" w:hAnsi="宋体"/>
          <w:color w:val="000000" w:themeColor="text1"/>
          <w:sz w:val="24"/>
          <w:szCs w:val="28"/>
          <w:highlight w:val="none"/>
          <w14:textFill>
            <w14:solidFill>
              <w14:schemeClr w14:val="tx1"/>
            </w14:solidFill>
          </w14:textFill>
        </w:rPr>
        <w:t>涉税专业服务机构原则上应当通过电子税务局报送，因客观原因无法通过电子税务局报送的，可在非征期内通过实体办税服务厅办理。</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5.</w:t>
      </w:r>
      <w:r>
        <w:rPr>
          <w:rFonts w:ascii="宋体" w:hAnsi="宋体"/>
          <w:color w:val="000000" w:themeColor="text1"/>
          <w:sz w:val="24"/>
          <w:szCs w:val="28"/>
          <w:highlight w:val="none"/>
          <w14:textFill>
            <w14:solidFill>
              <w14:schemeClr w14:val="tx1"/>
            </w14:solidFill>
          </w14:textFill>
        </w:rPr>
        <w:t>涉税专业服务机构通过电子税务局办理的，按照系统反馈信息，自行打印《涉税专业服务机构（人员）基本信息采集表》留存。</w:t>
      </w:r>
    </w:p>
    <w:p>
      <w:pPr>
        <w:wordWrap w:val="0"/>
        <w:spacing w:beforeLines="100" w:afterLines="100" w:line="360" w:lineRule="auto"/>
        <w:ind w:firstLine="562" w:firstLineChars="200"/>
        <w:outlineLvl w:val="2"/>
        <w:rPr>
          <w:rFonts w:eastAsia="黑体" w:cs="Times New Roman"/>
          <w:b/>
          <w:bCs/>
          <w:color w:val="000000" w:themeColor="text1"/>
          <w:kern w:val="24"/>
          <w:sz w:val="28"/>
          <w:szCs w:val="28"/>
          <w:highlight w:val="none"/>
          <w14:textFill>
            <w14:solidFill>
              <w14:schemeClr w14:val="tx1"/>
            </w14:solidFill>
          </w14:textFill>
        </w:rPr>
      </w:pPr>
      <w:bookmarkStart w:id="6" w:name="_Toc4987"/>
      <w:r>
        <w:rPr>
          <w:rFonts w:hint="eastAsia" w:ascii="Times New Roman" w:hAnsi="Times New Roman" w:eastAsia="黑体" w:cs="Times New Roman"/>
          <w:b/>
          <w:bCs/>
          <w:color w:val="000000" w:themeColor="text1"/>
          <w:kern w:val="24"/>
          <w:sz w:val="28"/>
          <w:szCs w:val="28"/>
          <w:highlight w:val="none"/>
          <w14:textFill>
            <w14:solidFill>
              <w14:schemeClr w14:val="tx1"/>
            </w14:solidFill>
          </w14:textFill>
        </w:rPr>
        <w:t>14.</w:t>
      </w:r>
      <w:r>
        <w:rPr>
          <w:rFonts w:hint="eastAsia" w:ascii="Times New Roman" w:hAnsi="Times New Roman" w:eastAsia="黑体" w:cs="Times New Roman"/>
          <w:b/>
          <w:bCs/>
          <w:color w:val="000000" w:themeColor="text1"/>
          <w:kern w:val="24"/>
          <w:sz w:val="28"/>
          <w:szCs w:val="28"/>
          <w:highlight w:val="none"/>
          <w:lang w:val="en-US" w:eastAsia="zh-CN"/>
          <w14:textFill>
            <w14:solidFill>
              <w14:schemeClr w14:val="tx1"/>
            </w14:solidFill>
          </w14:textFill>
        </w:rPr>
        <w:t>4</w:t>
      </w:r>
      <w:r>
        <w:rPr>
          <w:rFonts w:eastAsia="黑体" w:cs="Times New Roman"/>
          <w:b/>
          <w:bCs/>
          <w:color w:val="000000" w:themeColor="text1"/>
          <w:kern w:val="24"/>
          <w:sz w:val="28"/>
          <w:szCs w:val="28"/>
          <w:highlight w:val="none"/>
          <w14:textFill>
            <w14:solidFill>
              <w14:schemeClr w14:val="tx1"/>
            </w14:solidFill>
          </w14:textFill>
        </w:rPr>
        <w:t>—</w:t>
      </w:r>
      <w:r>
        <w:rPr>
          <w:rFonts w:hint="eastAsia" w:ascii="Times New Roman" w:hAnsi="Times New Roman" w:eastAsia="黑体" w:cs="Times New Roman"/>
          <w:b/>
          <w:bCs/>
          <w:color w:val="000000" w:themeColor="text1"/>
          <w:kern w:val="24"/>
          <w:sz w:val="28"/>
          <w:szCs w:val="28"/>
          <w:highlight w:val="none"/>
          <w14:textFill>
            <w14:solidFill>
              <w14:schemeClr w14:val="tx1"/>
            </w14:solidFill>
          </w14:textFill>
        </w:rPr>
        <w:t>1</w:t>
      </w:r>
      <w:r>
        <w:rPr>
          <w:rFonts w:hint="eastAsia" w:ascii="Times New Roman" w:hAnsi="Times New Roman" w:eastAsia="黑体" w:cs="Times New Roman"/>
          <w:b/>
          <w:bCs/>
          <w:color w:val="000000" w:themeColor="text1"/>
          <w:kern w:val="24"/>
          <w:sz w:val="28"/>
          <w:szCs w:val="28"/>
          <w:highlight w:val="none"/>
          <w:lang w:val="en-US" w:eastAsia="zh-CN"/>
          <w14:textFill>
            <w14:solidFill>
              <w14:schemeClr w14:val="tx1"/>
            </w14:solidFill>
          </w14:textFill>
        </w:rPr>
        <w:t>55</w:t>
      </w:r>
      <w:r>
        <w:rPr>
          <w:rFonts w:eastAsia="黑体" w:cs="Times New Roman"/>
          <w:b/>
          <w:bCs/>
          <w:color w:val="000000" w:themeColor="text1"/>
          <w:kern w:val="24"/>
          <w:sz w:val="28"/>
          <w:szCs w:val="28"/>
          <w:highlight w:val="none"/>
          <w14:textFill>
            <w14:solidFill>
              <w14:schemeClr w14:val="tx1"/>
            </w14:solidFill>
          </w14:textFill>
        </w:rPr>
        <w:t>　涉税专业服务协议要素信息报送</w:t>
      </w:r>
      <w:bookmarkEnd w:id="6"/>
      <w:bookmarkStart w:id="10" w:name="_GoBack"/>
      <w:bookmarkEnd w:id="10"/>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【事项名称】</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color w:val="000000" w:themeColor="text1"/>
          <w:sz w:val="24"/>
          <w:szCs w:val="28"/>
          <w:highlight w:val="none"/>
          <w14:textFill>
            <w14:solidFill>
              <w14:schemeClr w14:val="tx1"/>
            </w14:solidFill>
          </w14:textFill>
        </w:rPr>
        <w:t>涉税专业服务协议要素信息报送</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w:t>
      </w:r>
      <w:r>
        <w:rPr>
          <w:rFonts w:hint="eastAsia" w:ascii="黑体" w:hAnsi="黑体" w:eastAsia="黑体" w:cs="Times New Roman"/>
          <w:bCs/>
          <w:color w:val="000000" w:themeColor="text1"/>
          <w:sz w:val="24"/>
          <w:szCs w:val="28"/>
          <w:highlight w:val="none"/>
          <w14:textFill>
            <w14:solidFill>
              <w14:schemeClr w14:val="tx1"/>
            </w14:solidFill>
          </w14:textFill>
        </w:rPr>
        <w:t>申请条件</w:t>
      </w:r>
      <w:r>
        <w:rPr>
          <w:rFonts w:ascii="黑体" w:hAnsi="黑体" w:eastAsia="黑体" w:cs="Times New Roman"/>
          <w:bCs/>
          <w:color w:val="000000" w:themeColor="text1"/>
          <w:sz w:val="24"/>
          <w:szCs w:val="28"/>
          <w:highlight w:val="none"/>
          <w14:textFill>
            <w14:solidFill>
              <w14:schemeClr w14:val="tx1"/>
            </w14:solidFill>
          </w14:textFill>
        </w:rPr>
        <w:t>】</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bCs/>
          <w:color w:val="000000" w:themeColor="text1"/>
          <w:sz w:val="24"/>
          <w:szCs w:val="28"/>
          <w:highlight w:val="none"/>
          <w14:textFill>
            <w14:solidFill>
              <w14:schemeClr w14:val="tx1"/>
            </w14:solidFill>
          </w14:textFill>
        </w:rPr>
        <w:t>涉税专业服务机构应当于首次为委托人提供业务委托协议约定的涉税服务前、业务委托协议发生变更或者终止的应当自变更或者终止之日起</w:t>
      </w:r>
      <w:r>
        <w:rPr>
          <w:rFonts w:hint="eastAsia" w:ascii="Times New Roman" w:hAnsi="Times New Roman" w:cs="Times New Roman"/>
          <w:bCs/>
          <w:color w:val="000000" w:themeColor="text1"/>
          <w:sz w:val="24"/>
          <w:szCs w:val="28"/>
          <w:highlight w:val="none"/>
          <w14:textFill>
            <w14:solidFill>
              <w14:schemeClr w14:val="tx1"/>
            </w14:solidFill>
          </w14:textFill>
        </w:rPr>
        <w:t>30</w:t>
      </w:r>
      <w:r>
        <w:rPr>
          <w:rFonts w:ascii="宋体" w:hAnsi="宋体"/>
          <w:bCs/>
          <w:color w:val="000000" w:themeColor="text1"/>
          <w:sz w:val="24"/>
          <w:szCs w:val="28"/>
          <w:highlight w:val="none"/>
          <w14:textFill>
            <w14:solidFill>
              <w14:schemeClr w14:val="tx1"/>
            </w14:solidFill>
          </w14:textFill>
        </w:rPr>
        <w:t>日内办理涉税专业服务协议要素信息报送。</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【设定依据】</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hint="eastAsia" w:ascii="Times New Roman" w:hAnsi="Times New Roman" w:cs="Times New Roman"/>
          <w:bCs/>
          <w:color w:val="000000" w:themeColor="text1"/>
          <w:sz w:val="24"/>
          <w:szCs w:val="28"/>
          <w:highlight w:val="none"/>
          <w14:textFill>
            <w14:solidFill>
              <w14:schemeClr w14:val="tx1"/>
            </w14:solidFill>
          </w14:textFill>
        </w:rPr>
        <w:t>1.</w:t>
      </w:r>
      <w:r>
        <w:rPr>
          <w:rFonts w:ascii="宋体" w:hAnsi="宋体"/>
          <w:bCs/>
          <w:color w:val="000000" w:themeColor="text1"/>
          <w:sz w:val="24"/>
          <w:szCs w:val="28"/>
          <w:highlight w:val="none"/>
          <w14:textFill>
            <w14:solidFill>
              <w14:schemeClr w14:val="tx1"/>
            </w14:solidFill>
          </w14:textFill>
        </w:rPr>
        <w:t>《国家税务总局关于发布&lt;涉税专业服务监管办法（试行）&gt;的公告》（国家税务总局公告</w:t>
      </w:r>
      <w:r>
        <w:rPr>
          <w:rFonts w:hint="eastAsia" w:ascii="Times New Roman" w:hAnsi="Times New Roman" w:cs="Times New Roman"/>
          <w:bCs/>
          <w:color w:val="000000" w:themeColor="text1"/>
          <w:sz w:val="24"/>
          <w:szCs w:val="28"/>
          <w:highlight w:val="none"/>
          <w14:textFill>
            <w14:solidFill>
              <w14:schemeClr w14:val="tx1"/>
            </w14:solidFill>
          </w14:textFill>
        </w:rPr>
        <w:t>2017</w:t>
      </w:r>
      <w:r>
        <w:rPr>
          <w:rFonts w:ascii="宋体" w:hAnsi="宋体"/>
          <w:bCs/>
          <w:color w:val="000000" w:themeColor="text1"/>
          <w:sz w:val="24"/>
          <w:szCs w:val="28"/>
          <w:highlight w:val="none"/>
          <w14:textFill>
            <w14:solidFill>
              <w14:schemeClr w14:val="tx1"/>
            </w14:solidFill>
          </w14:textFill>
        </w:rPr>
        <w:t>年第</w:t>
      </w:r>
      <w:r>
        <w:rPr>
          <w:rFonts w:hint="eastAsia" w:ascii="Times New Roman" w:hAnsi="Times New Roman" w:cs="Times New Roman"/>
          <w:bCs/>
          <w:color w:val="000000" w:themeColor="text1"/>
          <w:sz w:val="24"/>
          <w:szCs w:val="28"/>
          <w:highlight w:val="none"/>
          <w14:textFill>
            <w14:solidFill>
              <w14:schemeClr w14:val="tx1"/>
            </w14:solidFill>
          </w14:textFill>
        </w:rPr>
        <w:t>13</w:t>
      </w:r>
      <w:r>
        <w:rPr>
          <w:rFonts w:ascii="宋体" w:hAnsi="宋体"/>
          <w:bCs/>
          <w:color w:val="000000" w:themeColor="text1"/>
          <w:sz w:val="24"/>
          <w:szCs w:val="28"/>
          <w:highlight w:val="none"/>
          <w14:textFill>
            <w14:solidFill>
              <w14:schemeClr w14:val="tx1"/>
            </w14:solidFill>
          </w14:textFill>
        </w:rPr>
        <w:t>号）第八条</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hint="eastAsia" w:ascii="Times New Roman" w:hAnsi="Times New Roman" w:cs="Times New Roman"/>
          <w:bCs/>
          <w:color w:val="000000" w:themeColor="text1"/>
          <w:sz w:val="24"/>
          <w:szCs w:val="28"/>
          <w:highlight w:val="none"/>
          <w14:textFill>
            <w14:solidFill>
              <w14:schemeClr w14:val="tx1"/>
            </w14:solidFill>
          </w14:textFill>
        </w:rPr>
        <w:t>2.</w:t>
      </w:r>
      <w:r>
        <w:rPr>
          <w:rFonts w:ascii="宋体" w:hAnsi="宋体"/>
          <w:bCs/>
          <w:color w:val="000000" w:themeColor="text1"/>
          <w:sz w:val="24"/>
          <w:szCs w:val="28"/>
          <w:highlight w:val="none"/>
          <w14:textFill>
            <w14:solidFill>
              <w14:schemeClr w14:val="tx1"/>
            </w14:solidFill>
          </w14:textFill>
        </w:rPr>
        <w:t>《国家税务总局关于采集涉税专业服务基本信息和业务信息有关事项的公告》（国家税务总局公告</w:t>
      </w:r>
      <w:r>
        <w:rPr>
          <w:rFonts w:hint="eastAsia" w:ascii="Times New Roman" w:hAnsi="Times New Roman" w:cs="Times New Roman"/>
          <w:bCs/>
          <w:color w:val="000000" w:themeColor="text1"/>
          <w:sz w:val="24"/>
          <w:szCs w:val="28"/>
          <w:highlight w:val="none"/>
          <w14:textFill>
            <w14:solidFill>
              <w14:schemeClr w14:val="tx1"/>
            </w14:solidFill>
          </w14:textFill>
        </w:rPr>
        <w:t>2017</w:t>
      </w:r>
      <w:r>
        <w:rPr>
          <w:rFonts w:ascii="宋体" w:hAnsi="宋体"/>
          <w:bCs/>
          <w:color w:val="000000" w:themeColor="text1"/>
          <w:sz w:val="24"/>
          <w:szCs w:val="28"/>
          <w:highlight w:val="none"/>
          <w14:textFill>
            <w14:solidFill>
              <w14:schemeClr w14:val="tx1"/>
            </w14:solidFill>
          </w14:textFill>
        </w:rPr>
        <w:t>年第</w:t>
      </w:r>
      <w:r>
        <w:rPr>
          <w:rFonts w:hint="eastAsia" w:ascii="Times New Roman" w:hAnsi="Times New Roman" w:cs="Times New Roman"/>
          <w:bCs/>
          <w:color w:val="000000" w:themeColor="text1"/>
          <w:sz w:val="24"/>
          <w:szCs w:val="28"/>
          <w:highlight w:val="none"/>
          <w14:textFill>
            <w14:solidFill>
              <w14:schemeClr w14:val="tx1"/>
            </w14:solidFill>
          </w14:textFill>
        </w:rPr>
        <w:t>49</w:t>
      </w:r>
      <w:r>
        <w:rPr>
          <w:rFonts w:ascii="宋体" w:hAnsi="宋体"/>
          <w:bCs/>
          <w:color w:val="000000" w:themeColor="text1"/>
          <w:sz w:val="24"/>
          <w:szCs w:val="28"/>
          <w:highlight w:val="none"/>
          <w14:textFill>
            <w14:solidFill>
              <w14:schemeClr w14:val="tx1"/>
            </w14:solidFill>
          </w14:textFill>
        </w:rPr>
        <w:t>号）第一条</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【办理材料】</w:t>
      </w:r>
    </w:p>
    <w:tbl>
      <w:tblPr>
        <w:tblStyle w:val="13"/>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4535"/>
        <w:gridCol w:w="68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序号</w:t>
            </w:r>
          </w:p>
        </w:tc>
        <w:tc>
          <w:tcPr>
            <w:tcW w:w="45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数量</w:t>
            </w:r>
          </w:p>
        </w:tc>
        <w:tc>
          <w:tcPr>
            <w:tcW w:w="22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1</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ascii="黑体" w:hAnsi="黑体" w:eastAsia="黑体"/>
                <w:color w:val="000000" w:themeColor="text1"/>
                <w:sz w:val="18"/>
                <w:szCs w:val="18"/>
                <w:highlight w:val="none"/>
                <w14:textFill>
                  <w14:solidFill>
                    <w14:schemeClr w14:val="tx1"/>
                  </w14:solidFill>
                </w14:textFill>
              </w:rPr>
              <w:t>《涉税专业服务协议要素信息采集表》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3</w:t>
            </w:r>
            <w:r>
              <w:rPr>
                <w:rFonts w:ascii="黑体" w:hAnsi="黑体" w:eastAsia="黑体" w:cs="Microsoft Himalaya"/>
                <w:color w:val="000000" w:themeColor="text1"/>
                <w:sz w:val="18"/>
                <w:szCs w:val="18"/>
                <w:highlight w:val="none"/>
                <w14:textFill>
                  <w14:solidFill>
                    <w14:schemeClr w14:val="tx1"/>
                  </w14:solidFill>
                </w14:textFill>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r>
              <w:rPr>
                <w:rFonts w:ascii="黑体" w:hAnsi="黑体" w:eastAsia="黑体" w:cs="Microsoft Himalaya"/>
                <w:color w:val="000000" w:themeColor="text1"/>
                <w:sz w:val="18"/>
                <w:szCs w:val="18"/>
                <w:highlight w:val="none"/>
                <w14:textFill>
                  <w14:solidFill>
                    <w14:schemeClr w14:val="tx1"/>
                  </w14:solidFill>
                </w14:textFill>
              </w:rPr>
              <w:t>税务机关、委托人和涉税专业服务机构各留存一份</w:t>
            </w:r>
          </w:p>
        </w:tc>
      </w:tr>
    </w:tbl>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【办理地点】</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可通过电子税务局</w:t>
      </w:r>
      <w:r>
        <w:rPr>
          <w:rFonts w:hint="eastAsia" w:ascii="宋体" w:hAnsi="宋体" w:eastAsia="宋体" w:cstheme="minorBidi"/>
          <w:bCs w:val="0"/>
          <w:highlight w:val="none"/>
          <w:lang w:eastAsia="zh-CN"/>
        </w:rPr>
        <w:t>（http://etax.yunnan.chinatax.gov.cn）</w:t>
      </w:r>
      <w:r>
        <w:rPr>
          <w:rFonts w:ascii="宋体" w:hAnsi="宋体" w:cs="Times New Roman"/>
          <w:color w:val="000000" w:themeColor="text1"/>
          <w:sz w:val="24"/>
          <w:szCs w:val="28"/>
          <w:highlight w:val="none"/>
          <w14:textFill>
            <w14:solidFill>
              <w14:schemeClr w14:val="tx1"/>
            </w14:solidFill>
          </w14:textFill>
        </w:rPr>
        <w:t>、办税服务厅（场所）办理，具体地点可从</w:t>
      </w:r>
      <w:r>
        <w:rPr>
          <w:rFonts w:hint="eastAsia" w:ascii="宋体" w:hAnsi="宋体" w:cs="Times New Roman"/>
          <w:color w:val="000000" w:themeColor="text1"/>
          <w:sz w:val="24"/>
          <w:szCs w:val="28"/>
          <w:highlight w:val="none"/>
          <w:lang w:eastAsia="zh-CN"/>
          <w14:textFill>
            <w14:solidFill>
              <w14:schemeClr w14:val="tx1"/>
            </w14:solidFill>
          </w14:textFill>
        </w:rPr>
        <w:t>云南省</w:t>
      </w:r>
      <w:r>
        <w:rPr>
          <w:rFonts w:ascii="宋体" w:hAnsi="宋体" w:cs="Times New Roman"/>
          <w:color w:val="000000" w:themeColor="text1"/>
          <w:sz w:val="24"/>
          <w:szCs w:val="28"/>
          <w:highlight w:val="none"/>
          <w14:textFill>
            <w14:solidFill>
              <w14:schemeClr w14:val="tx1"/>
            </w14:solidFill>
          </w14:textFill>
        </w:rPr>
        <w:t>税务局网站“纳税服务”栏目查询。</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【办理机构】</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主管税务机关</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【收费标准】</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不收费</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【办理时间】</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即时办结</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【联系电话】</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主管税务机关对外公开的联系电话，可从</w:t>
      </w:r>
      <w:r>
        <w:rPr>
          <w:rFonts w:hint="eastAsia" w:ascii="宋体" w:hAnsi="宋体" w:cs="Times New Roman"/>
          <w:color w:val="000000" w:themeColor="text1"/>
          <w:sz w:val="24"/>
          <w:szCs w:val="28"/>
          <w:highlight w:val="none"/>
          <w:lang w:eastAsia="zh-CN"/>
          <w14:textFill>
            <w14:solidFill>
              <w14:schemeClr w14:val="tx1"/>
            </w14:solidFill>
          </w14:textFill>
        </w:rPr>
        <w:t>云南省</w:t>
      </w:r>
      <w:r>
        <w:rPr>
          <w:rFonts w:ascii="宋体" w:hAnsi="宋体" w:cs="Times New Roman"/>
          <w:color w:val="000000" w:themeColor="text1"/>
          <w:sz w:val="24"/>
          <w:szCs w:val="28"/>
          <w:highlight w:val="none"/>
          <w14:textFill>
            <w14:solidFill>
              <w14:schemeClr w14:val="tx1"/>
            </w14:solidFill>
          </w14:textFill>
        </w:rPr>
        <w:t>税务局网站“纳税服务”栏目查询。</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【办理流程】</w:t>
      </w:r>
    </w:p>
    <w:p>
      <w:pPr>
        <w:wordWrap w:val="0"/>
        <w:spacing w:line="360" w:lineRule="auto"/>
        <w:rPr>
          <w:rFonts w:ascii="宋体" w:hAnsi="宋体" w:cs="Times New Roman"/>
          <w:color w:val="000000" w:themeColor="text1"/>
          <w:highlight w:val="none"/>
          <w14:textFill>
            <w14:solidFill>
              <w14:schemeClr w14:val="tx1"/>
            </w14:solidFill>
          </w14:textFill>
        </w:rPr>
      </w:pPr>
      <w:r>
        <w:rPr>
          <w:rFonts w:ascii="宋体" w:hAnsi="宋体" w:cs="Times New Roman"/>
          <w:color w:val="000000" w:themeColor="text1"/>
          <w:highlight w:val="none"/>
          <w14:textFill>
            <w14:solidFill>
              <w14:schemeClr w14:val="tx1"/>
            </w14:solidFill>
          </w14:textFill>
        </w:rPr>
        <w:drawing>
          <wp:inline distT="0" distB="0" distL="114300" distR="114300">
            <wp:extent cx="5184140" cy="1769745"/>
            <wp:effectExtent l="0" t="0" r="16510" b="0"/>
            <wp:docPr id="137" name="图片 137" descr="C:\Users\baoqianyu\Desktop\流程图\即办\涉税专业服务机构.png涉税专业服务机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7" descr="C:\Users\baoqianyu\Desktop\流程图\即办\涉税专业服务机构.png涉税专业服务机构"/>
                    <pic:cNvPicPr>
                      <a:picLocks noChangeAspect="1"/>
                    </pic:cNvPicPr>
                  </pic:nvPicPr>
                  <pic:blipFill>
                    <a:blip r:embed="rId7"/>
                    <a:srcRect/>
                    <a:stretch>
                      <a:fillRect/>
                    </a:stretch>
                  </pic:blipFill>
                  <pic:spPr>
                    <a:xfrm>
                      <a:off x="0" y="0"/>
                      <a:ext cx="5184140" cy="1769745"/>
                    </a:xfrm>
                    <a:prstGeom prst="rect">
                      <a:avLst/>
                    </a:prstGeom>
                  </pic:spPr>
                </pic:pic>
              </a:graphicData>
            </a:graphic>
          </wp:inline>
        </w:drawing>
      </w:r>
    </w:p>
    <w:p>
      <w:pPr>
        <w:wordWrap w:val="0"/>
        <w:spacing w:line="360" w:lineRule="auto"/>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【注意事项】</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1.</w:t>
      </w:r>
      <w:r>
        <w:rPr>
          <w:rFonts w:ascii="宋体" w:hAnsi="宋体"/>
          <w:color w:val="000000" w:themeColor="text1"/>
          <w:sz w:val="24"/>
          <w:szCs w:val="28"/>
          <w:highlight w:val="none"/>
          <w14:textFill>
            <w14:solidFill>
              <w14:schemeClr w14:val="tx1"/>
            </w14:solidFill>
          </w14:textFill>
        </w:rPr>
        <w:t>涉税专业服务机构应主动报送相关信息并对信息的真实性、完整性、合法性和准确性负责。</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2.</w:t>
      </w:r>
      <w:r>
        <w:rPr>
          <w:rFonts w:hint="eastAsia" w:ascii="宋体" w:hAnsi="宋体" w:cs="Times New Roman"/>
          <w:color w:val="000000" w:themeColor="text1"/>
          <w:sz w:val="24"/>
          <w:szCs w:val="28"/>
          <w:highlight w:val="none"/>
          <w:lang w:eastAsia="zh-CN"/>
          <w14:textFill>
            <w14:solidFill>
              <w14:schemeClr w14:val="tx1"/>
            </w14:solidFill>
          </w14:textFill>
        </w:rPr>
        <w:t>文书表单可在云南省税务局网站“下载中心”栏目查询下载或到办税服务厅领取</w:t>
      </w:r>
      <w:r>
        <w:rPr>
          <w:rFonts w:ascii="宋体" w:hAnsi="宋体" w:cs="Times New Roman"/>
          <w:color w:val="000000" w:themeColor="text1"/>
          <w:sz w:val="24"/>
          <w:szCs w:val="28"/>
          <w:highlight w:val="none"/>
          <w14:textFill>
            <w14:solidFill>
              <w14:schemeClr w14:val="tx1"/>
            </w14:solidFill>
          </w14:textFill>
        </w:rPr>
        <w:t>。</w:t>
      </w:r>
    </w:p>
    <w:p>
      <w:pPr>
        <w:wordWrap w:val="0"/>
        <w:spacing w:line="360" w:lineRule="auto"/>
        <w:ind w:firstLine="480"/>
        <w:rPr>
          <w:rFonts w:hint="eastAsia"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3.</w:t>
      </w:r>
      <w:r>
        <w:rPr>
          <w:rFonts w:ascii="宋体" w:hAnsi="宋体"/>
          <w:color w:val="000000" w:themeColor="text1"/>
          <w:sz w:val="24"/>
          <w:szCs w:val="28"/>
          <w:highlight w:val="none"/>
          <w14:textFill>
            <w14:solidFill>
              <w14:schemeClr w14:val="tx1"/>
            </w14:solidFill>
          </w14:textFill>
        </w:rPr>
        <w:t>涉税专业服务机构办理涉税专业服务协议要素信息报送前，应已完成涉税专业服务机构（人员）基本信息报送。</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宋体" w:hAnsi="宋体"/>
          <w:color w:val="000000" w:themeColor="text1"/>
          <w:sz w:val="24"/>
          <w:szCs w:val="28"/>
          <w:highlight w:val="none"/>
          <w14:textFill>
            <w14:solidFill>
              <w14:schemeClr w14:val="tx1"/>
            </w14:solidFill>
          </w14:textFill>
        </w:rPr>
        <w:t>4.</w:t>
      </w:r>
      <w:r>
        <w:rPr>
          <w:rFonts w:ascii="宋体" w:hAnsi="宋体"/>
          <w:color w:val="000000" w:themeColor="text1"/>
          <w:sz w:val="24"/>
          <w:szCs w:val="28"/>
          <w:highlight w:val="none"/>
          <w14:textFill>
            <w14:solidFill>
              <w14:schemeClr w14:val="tx1"/>
            </w14:solidFill>
          </w14:textFill>
        </w:rPr>
        <w:t>涉税专业服务机构原则上应当通过电子税务局报送涉税专业服务协议要素信息，因客观原因无法通过电子税务局报送的，可在非征期内通过实体办税服务厅办理。</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5.</w:t>
      </w:r>
      <w:r>
        <w:rPr>
          <w:rFonts w:ascii="宋体" w:hAnsi="宋体"/>
          <w:color w:val="000000" w:themeColor="text1"/>
          <w:sz w:val="24"/>
          <w:szCs w:val="28"/>
          <w:highlight w:val="none"/>
          <w14:textFill>
            <w14:solidFill>
              <w14:schemeClr w14:val="tx1"/>
            </w14:solidFill>
          </w14:textFill>
        </w:rPr>
        <w:t>涉税专业服务机构通过电子税务局办理的，按照系统反馈信息，自行打印《涉税专业服务协议要素信息采集表》，由涉税专业服务机构、委托人留存。</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6.</w:t>
      </w:r>
      <w:r>
        <w:rPr>
          <w:rFonts w:ascii="宋体" w:hAnsi="宋体"/>
          <w:color w:val="000000" w:themeColor="text1"/>
          <w:sz w:val="24"/>
          <w:szCs w:val="28"/>
          <w:highlight w:val="none"/>
          <w14:textFill>
            <w14:solidFill>
              <w14:schemeClr w14:val="tx1"/>
            </w14:solidFill>
          </w14:textFill>
        </w:rPr>
        <w:t>涉税专业服务机构仅报送业务委托协议的要素信息，业务委托协议原件由涉税专业服务机构和委托人双方留存备查。</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7.</w:t>
      </w:r>
      <w:r>
        <w:rPr>
          <w:rFonts w:ascii="宋体" w:hAnsi="宋体"/>
          <w:color w:val="000000" w:themeColor="text1"/>
          <w:sz w:val="24"/>
          <w:szCs w:val="28"/>
          <w:highlight w:val="none"/>
          <w14:textFill>
            <w14:solidFill>
              <w14:schemeClr w14:val="tx1"/>
            </w14:solidFill>
          </w14:textFill>
        </w:rPr>
        <w:t>专业税务顾问、税收策划、涉税鉴证、纳税情况审查等四项涉税业务，应当由具有税务师事务所、会计师事务所、律师事务所资质的涉税专业服务机构从事。</w:t>
      </w:r>
    </w:p>
    <w:p>
      <w:pPr>
        <w:wordWrap w:val="0"/>
        <w:spacing w:beforeLines="100" w:afterLines="100" w:line="360" w:lineRule="auto"/>
        <w:ind w:firstLine="562" w:firstLineChars="200"/>
        <w:outlineLvl w:val="2"/>
        <w:rPr>
          <w:rFonts w:eastAsia="黑体" w:cs="Times New Roman"/>
          <w:b/>
          <w:bCs/>
          <w:color w:val="000000" w:themeColor="text1"/>
          <w:kern w:val="24"/>
          <w:sz w:val="28"/>
          <w:szCs w:val="28"/>
          <w:highlight w:val="none"/>
          <w14:textFill>
            <w14:solidFill>
              <w14:schemeClr w14:val="tx1"/>
            </w14:solidFill>
          </w14:textFill>
        </w:rPr>
      </w:pPr>
      <w:bookmarkStart w:id="7" w:name="_Toc12355"/>
      <w:r>
        <w:rPr>
          <w:rFonts w:hint="eastAsia" w:ascii="Times New Roman" w:hAnsi="Times New Roman" w:eastAsia="黑体" w:cs="Times New Roman"/>
          <w:b/>
          <w:bCs/>
          <w:color w:val="000000" w:themeColor="text1"/>
          <w:kern w:val="24"/>
          <w:sz w:val="28"/>
          <w:szCs w:val="28"/>
          <w:highlight w:val="none"/>
          <w14:textFill>
            <w14:solidFill>
              <w14:schemeClr w14:val="tx1"/>
            </w14:solidFill>
          </w14:textFill>
        </w:rPr>
        <w:t>14.</w:t>
      </w:r>
      <w:r>
        <w:rPr>
          <w:rFonts w:hint="eastAsia" w:ascii="Times New Roman" w:hAnsi="Times New Roman" w:eastAsia="黑体" w:cs="Times New Roman"/>
          <w:b/>
          <w:bCs/>
          <w:color w:val="000000" w:themeColor="text1"/>
          <w:kern w:val="24"/>
          <w:sz w:val="28"/>
          <w:szCs w:val="28"/>
          <w:highlight w:val="none"/>
          <w:lang w:val="en-US" w:eastAsia="zh-CN"/>
          <w14:textFill>
            <w14:solidFill>
              <w14:schemeClr w14:val="tx1"/>
            </w14:solidFill>
          </w14:textFill>
        </w:rPr>
        <w:t>5</w:t>
      </w:r>
      <w:r>
        <w:rPr>
          <w:rFonts w:eastAsia="黑体" w:cs="Times New Roman"/>
          <w:b/>
          <w:bCs/>
          <w:color w:val="000000" w:themeColor="text1"/>
          <w:kern w:val="24"/>
          <w:sz w:val="28"/>
          <w:szCs w:val="28"/>
          <w:highlight w:val="none"/>
          <w14:textFill>
            <w14:solidFill>
              <w14:schemeClr w14:val="tx1"/>
            </w14:solidFill>
          </w14:textFill>
        </w:rPr>
        <w:t>—</w:t>
      </w:r>
      <w:r>
        <w:rPr>
          <w:rFonts w:hint="eastAsia" w:eastAsia="黑体" w:cs="Times New Roman"/>
          <w:b/>
          <w:bCs/>
          <w:color w:val="000000" w:themeColor="text1"/>
          <w:kern w:val="24"/>
          <w:sz w:val="28"/>
          <w:szCs w:val="28"/>
          <w:highlight w:val="none"/>
          <w:lang w:val="en-US" w:eastAsia="zh-CN"/>
          <w14:textFill>
            <w14:solidFill>
              <w14:schemeClr w14:val="tx1"/>
            </w14:solidFill>
          </w14:textFill>
        </w:rPr>
        <w:t>156</w:t>
      </w:r>
      <w:r>
        <w:rPr>
          <w:rFonts w:eastAsia="黑体" w:cs="Times New Roman"/>
          <w:b/>
          <w:bCs/>
          <w:color w:val="000000" w:themeColor="text1"/>
          <w:kern w:val="24"/>
          <w:sz w:val="28"/>
          <w:szCs w:val="28"/>
          <w:highlight w:val="none"/>
          <w14:textFill>
            <w14:solidFill>
              <w14:schemeClr w14:val="tx1"/>
            </w14:solidFill>
          </w14:textFill>
        </w:rPr>
        <w:t>　涉税专业服务机构（人员）信用信息查询</w:t>
      </w:r>
      <w:bookmarkEnd w:id="7"/>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【事项名称】</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color w:val="000000" w:themeColor="text1"/>
          <w:sz w:val="24"/>
          <w:szCs w:val="28"/>
          <w:highlight w:val="none"/>
          <w14:textFill>
            <w14:solidFill>
              <w14:schemeClr w14:val="tx1"/>
            </w14:solidFill>
          </w14:textFill>
        </w:rPr>
        <w:t>涉税专业服务机构（人员）信用信息查询</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w:t>
      </w:r>
      <w:r>
        <w:rPr>
          <w:rFonts w:hint="eastAsia" w:ascii="黑体" w:hAnsi="黑体" w:eastAsia="黑体" w:cs="Times New Roman"/>
          <w:bCs/>
          <w:color w:val="000000" w:themeColor="text1"/>
          <w:sz w:val="24"/>
          <w:szCs w:val="28"/>
          <w:highlight w:val="none"/>
          <w14:textFill>
            <w14:solidFill>
              <w14:schemeClr w14:val="tx1"/>
            </w14:solidFill>
          </w14:textFill>
        </w:rPr>
        <w:t>申请条件</w:t>
      </w:r>
      <w:r>
        <w:rPr>
          <w:rFonts w:ascii="黑体" w:hAnsi="黑体" w:eastAsia="黑体" w:cs="Times New Roman"/>
          <w:bCs/>
          <w:color w:val="000000" w:themeColor="text1"/>
          <w:sz w:val="24"/>
          <w:szCs w:val="28"/>
          <w:highlight w:val="none"/>
          <w14:textFill>
            <w14:solidFill>
              <w14:schemeClr w14:val="tx1"/>
            </w14:solidFill>
          </w14:textFill>
        </w:rPr>
        <w:t>】</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ascii="宋体" w:hAnsi="宋体"/>
          <w:bCs/>
          <w:color w:val="000000" w:themeColor="text1"/>
          <w:sz w:val="24"/>
          <w:szCs w:val="28"/>
          <w:highlight w:val="none"/>
          <w14:textFill>
            <w14:solidFill>
              <w14:schemeClr w14:val="tx1"/>
            </w14:solidFill>
          </w14:textFill>
        </w:rPr>
        <w:t>纳税人可以查询涉税专业服务机构的涉税专业服务信用等级和从事涉税服务人员的信用积分；</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ascii="宋体" w:hAnsi="宋体"/>
          <w:bCs/>
          <w:color w:val="000000" w:themeColor="text1"/>
          <w:sz w:val="24"/>
          <w:szCs w:val="28"/>
          <w:highlight w:val="none"/>
          <w14:textFill>
            <w14:solidFill>
              <w14:schemeClr w14:val="tx1"/>
            </w14:solidFill>
          </w14:textFill>
        </w:rPr>
        <w:t>涉税专业服务机构可以查询本机构的涉税专业服务信用等级及积分明细和所属从事涉税服务人员的信用积分；</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bCs/>
          <w:color w:val="000000" w:themeColor="text1"/>
          <w:sz w:val="24"/>
          <w:szCs w:val="28"/>
          <w:highlight w:val="none"/>
          <w14:textFill>
            <w14:solidFill>
              <w14:schemeClr w14:val="tx1"/>
            </w14:solidFill>
          </w14:textFill>
        </w:rPr>
        <w:t>从事涉税服务人员可以查询本人的信用积分明细。</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【设定依据】</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hint="eastAsia" w:ascii="Times New Roman" w:hAnsi="Times New Roman" w:cs="Times New Roman"/>
          <w:bCs/>
          <w:color w:val="000000" w:themeColor="text1"/>
          <w:sz w:val="24"/>
          <w:szCs w:val="28"/>
          <w:highlight w:val="none"/>
          <w14:textFill>
            <w14:solidFill>
              <w14:schemeClr w14:val="tx1"/>
            </w14:solidFill>
          </w14:textFill>
        </w:rPr>
        <w:t>1.</w:t>
      </w:r>
      <w:r>
        <w:rPr>
          <w:rFonts w:ascii="宋体" w:hAnsi="宋体"/>
          <w:bCs/>
          <w:color w:val="000000" w:themeColor="text1"/>
          <w:sz w:val="24"/>
          <w:szCs w:val="28"/>
          <w:highlight w:val="none"/>
          <w14:textFill>
            <w14:solidFill>
              <w14:schemeClr w14:val="tx1"/>
            </w14:solidFill>
          </w14:textFill>
        </w:rPr>
        <w:t>《国家税务总局关于发布&lt;涉税专业服务监管办法（试行）&gt;的公告》（国家税务总局公告</w:t>
      </w:r>
      <w:r>
        <w:rPr>
          <w:rFonts w:hint="eastAsia" w:ascii="Times New Roman" w:hAnsi="Times New Roman" w:cs="Times New Roman"/>
          <w:bCs/>
          <w:color w:val="000000" w:themeColor="text1"/>
          <w:sz w:val="24"/>
          <w:szCs w:val="28"/>
          <w:highlight w:val="none"/>
          <w14:textFill>
            <w14:solidFill>
              <w14:schemeClr w14:val="tx1"/>
            </w14:solidFill>
          </w14:textFill>
        </w:rPr>
        <w:t>2017</w:t>
      </w:r>
      <w:r>
        <w:rPr>
          <w:rFonts w:ascii="宋体" w:hAnsi="宋体"/>
          <w:bCs/>
          <w:color w:val="000000" w:themeColor="text1"/>
          <w:sz w:val="24"/>
          <w:szCs w:val="28"/>
          <w:highlight w:val="none"/>
          <w14:textFill>
            <w14:solidFill>
              <w14:schemeClr w14:val="tx1"/>
            </w14:solidFill>
          </w14:textFill>
        </w:rPr>
        <w:t>年第</w:t>
      </w:r>
      <w:r>
        <w:rPr>
          <w:rFonts w:hint="eastAsia" w:ascii="Times New Roman" w:hAnsi="Times New Roman" w:cs="Times New Roman"/>
          <w:bCs/>
          <w:color w:val="000000" w:themeColor="text1"/>
          <w:sz w:val="24"/>
          <w:szCs w:val="28"/>
          <w:highlight w:val="none"/>
          <w14:textFill>
            <w14:solidFill>
              <w14:schemeClr w14:val="tx1"/>
            </w14:solidFill>
          </w14:textFill>
        </w:rPr>
        <w:t>13</w:t>
      </w:r>
      <w:r>
        <w:rPr>
          <w:rFonts w:ascii="宋体" w:hAnsi="宋体"/>
          <w:bCs/>
          <w:color w:val="000000" w:themeColor="text1"/>
          <w:sz w:val="24"/>
          <w:szCs w:val="28"/>
          <w:highlight w:val="none"/>
          <w14:textFill>
            <w14:solidFill>
              <w14:schemeClr w14:val="tx1"/>
            </w14:solidFill>
          </w14:textFill>
        </w:rPr>
        <w:t>号）第十一条、第十三条</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hint="eastAsia" w:ascii="Times New Roman" w:hAnsi="Times New Roman" w:cs="Times New Roman"/>
          <w:bCs/>
          <w:color w:val="000000" w:themeColor="text1"/>
          <w:sz w:val="24"/>
          <w:szCs w:val="28"/>
          <w:highlight w:val="none"/>
          <w14:textFill>
            <w14:solidFill>
              <w14:schemeClr w14:val="tx1"/>
            </w14:solidFill>
          </w14:textFill>
        </w:rPr>
        <w:t>2.</w:t>
      </w:r>
      <w:r>
        <w:rPr>
          <w:rFonts w:ascii="宋体" w:hAnsi="宋体"/>
          <w:bCs/>
          <w:color w:val="000000" w:themeColor="text1"/>
          <w:sz w:val="24"/>
          <w:szCs w:val="28"/>
          <w:highlight w:val="none"/>
          <w14:textFill>
            <w14:solidFill>
              <w14:schemeClr w14:val="tx1"/>
            </w14:solidFill>
          </w14:textFill>
        </w:rPr>
        <w:t>《国家税务总局关于发布&lt;涉税专业服务信用评价管理办法（试行）&gt;的公告》（国家税务总局公告</w:t>
      </w:r>
      <w:r>
        <w:rPr>
          <w:rFonts w:hint="eastAsia" w:ascii="Times New Roman" w:hAnsi="Times New Roman" w:cs="Times New Roman"/>
          <w:bCs/>
          <w:color w:val="000000" w:themeColor="text1"/>
          <w:sz w:val="24"/>
          <w:szCs w:val="28"/>
          <w:highlight w:val="none"/>
          <w14:textFill>
            <w14:solidFill>
              <w14:schemeClr w14:val="tx1"/>
            </w14:solidFill>
          </w14:textFill>
        </w:rPr>
        <w:t>2017</w:t>
      </w:r>
      <w:r>
        <w:rPr>
          <w:rFonts w:ascii="宋体" w:hAnsi="宋体"/>
          <w:bCs/>
          <w:color w:val="000000" w:themeColor="text1"/>
          <w:sz w:val="24"/>
          <w:szCs w:val="28"/>
          <w:highlight w:val="none"/>
          <w14:textFill>
            <w14:solidFill>
              <w14:schemeClr w14:val="tx1"/>
            </w14:solidFill>
          </w14:textFill>
        </w:rPr>
        <w:t>年第</w:t>
      </w:r>
      <w:r>
        <w:rPr>
          <w:rFonts w:hint="eastAsia" w:ascii="Times New Roman" w:hAnsi="Times New Roman" w:cs="Times New Roman"/>
          <w:bCs/>
          <w:color w:val="000000" w:themeColor="text1"/>
          <w:sz w:val="24"/>
          <w:szCs w:val="28"/>
          <w:highlight w:val="none"/>
          <w14:textFill>
            <w14:solidFill>
              <w14:schemeClr w14:val="tx1"/>
            </w14:solidFill>
          </w14:textFill>
        </w:rPr>
        <w:t>48</w:t>
      </w:r>
      <w:r>
        <w:rPr>
          <w:rFonts w:ascii="宋体" w:hAnsi="宋体"/>
          <w:bCs/>
          <w:color w:val="000000" w:themeColor="text1"/>
          <w:sz w:val="24"/>
          <w:szCs w:val="28"/>
          <w:highlight w:val="none"/>
          <w14:textFill>
            <w14:solidFill>
              <w14:schemeClr w14:val="tx1"/>
            </w14:solidFill>
          </w14:textFill>
        </w:rPr>
        <w:t>号）第十三条、第十四条</w:t>
      </w:r>
    </w:p>
    <w:p>
      <w:pPr>
        <w:widowControl/>
        <w:adjustRightInd/>
        <w:snapToGrid/>
        <w:spacing w:line="360" w:lineRule="auto"/>
        <w:ind w:firstLine="480" w:firstLineChars="200"/>
        <w:jc w:val="both"/>
        <w:rPr>
          <w:rFonts w:ascii="黑体" w:hAnsi="黑体" w:eastAsia="黑体" w:cs="Times New Roman"/>
          <w:bCs/>
          <w:color w:val="auto"/>
          <w:kern w:val="2"/>
          <w:sz w:val="24"/>
          <w:szCs w:val="24"/>
          <w:highlight w:val="none"/>
          <w:lang w:val="en-US" w:eastAsia="zh-CN" w:bidi="ar-SA"/>
        </w:rPr>
      </w:pPr>
      <w:r>
        <w:rPr>
          <w:rFonts w:hint="eastAsia" w:ascii="黑体" w:hAnsi="黑体" w:eastAsia="黑体" w:cs="Times New Roman"/>
          <w:bCs/>
          <w:color w:val="auto"/>
          <w:kern w:val="2"/>
          <w:sz w:val="24"/>
          <w:szCs w:val="24"/>
          <w:highlight w:val="none"/>
          <w:lang w:val="en-US" w:eastAsia="zh-CN" w:bidi="ar-SA"/>
        </w:rPr>
        <w:t>【办理材料】</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hint="default" w:ascii="宋体" w:hAnsi="宋体" w:eastAsia="宋体" w:cs="黑体"/>
          <w:bCs/>
          <w:color w:val="000000" w:themeColor="text1"/>
          <w:sz w:val="24"/>
          <w:szCs w:val="28"/>
          <w:highlight w:val="none"/>
          <w14:textFill>
            <w14:solidFill>
              <w14:schemeClr w14:val="tx1"/>
            </w14:solidFill>
          </w14:textFill>
        </w:rPr>
        <w:t>涉税专业服务机构（人员）信用信息查询无需提供材料。</w:t>
      </w:r>
    </w:p>
    <w:p>
      <w:pPr>
        <w:wordWrap w:val="0"/>
        <w:spacing w:line="360" w:lineRule="auto"/>
        <w:ind w:firstLine="480"/>
        <w:rPr>
          <w:rFonts w:ascii="宋体" w:hAnsi="宋体"/>
          <w:b/>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【办理地点】</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bCs/>
          <w:color w:val="000000" w:themeColor="text1"/>
          <w:sz w:val="24"/>
          <w:szCs w:val="28"/>
          <w:highlight w:val="none"/>
          <w14:textFill>
            <w14:solidFill>
              <w14:schemeClr w14:val="tx1"/>
            </w14:solidFill>
          </w14:textFill>
        </w:rPr>
        <w:t>门户网站、电子税务局</w:t>
      </w:r>
      <w:r>
        <w:rPr>
          <w:rFonts w:hint="eastAsia" w:ascii="宋体" w:hAnsi="宋体" w:eastAsia="宋体" w:cstheme="minorBidi"/>
          <w:bCs w:val="0"/>
          <w:highlight w:val="none"/>
          <w:lang w:eastAsia="zh-CN"/>
        </w:rPr>
        <w:t>（http://etax.yunnan.chinatax.gov.cn）</w:t>
      </w:r>
      <w:r>
        <w:rPr>
          <w:rFonts w:ascii="宋体" w:hAnsi="宋体" w:cs="Times New Roman"/>
          <w:color w:val="000000" w:themeColor="text1"/>
          <w:sz w:val="24"/>
          <w:szCs w:val="28"/>
          <w:highlight w:val="none"/>
          <w14:textFill>
            <w14:solidFill>
              <w14:schemeClr w14:val="tx1"/>
            </w14:solidFill>
          </w14:textFill>
        </w:rPr>
        <w:t>。</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【办理机构】</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省税务机关</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【收费标准】</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不收费</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【办理时间】</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即时办结</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【联系电话】</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省税务机关对外公布的联系电话</w:t>
      </w:r>
    </w:p>
    <w:p>
      <w:pPr>
        <w:wordWrap w:val="0"/>
        <w:spacing w:line="360" w:lineRule="auto"/>
        <w:ind w:firstLine="480"/>
        <w:rPr>
          <w:rFonts w:ascii="黑体" w:hAnsi="黑体" w:eastAsia="黑体"/>
          <w:color w:val="000000" w:themeColor="text1"/>
          <w:sz w:val="24"/>
          <w:szCs w:val="28"/>
          <w:highlight w:val="none"/>
          <w14:textFill>
            <w14:solidFill>
              <w14:schemeClr w14:val="tx1"/>
            </w14:solidFill>
          </w14:textFill>
        </w:rPr>
      </w:pPr>
      <w:r>
        <w:rPr>
          <w:rFonts w:ascii="黑体" w:hAnsi="黑体" w:eastAsia="黑体"/>
          <w:color w:val="000000" w:themeColor="text1"/>
          <w:sz w:val="24"/>
          <w:szCs w:val="28"/>
          <w:highlight w:val="none"/>
          <w14:textFill>
            <w14:solidFill>
              <w14:schemeClr w14:val="tx1"/>
            </w14:solidFill>
          </w14:textFill>
        </w:rPr>
        <w:t>【办理流程】</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无</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【注意事项】</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hint="eastAsia" w:ascii="Times New Roman" w:hAnsi="Times New Roman" w:cs="Times New Roman"/>
          <w:bCs/>
          <w:color w:val="000000" w:themeColor="text1"/>
          <w:sz w:val="24"/>
          <w:szCs w:val="28"/>
          <w:highlight w:val="none"/>
          <w14:textFill>
            <w14:solidFill>
              <w14:schemeClr w14:val="tx1"/>
            </w14:solidFill>
          </w14:textFill>
        </w:rPr>
        <w:t>1.</w:t>
      </w:r>
      <w:r>
        <w:rPr>
          <w:rFonts w:ascii="宋体" w:hAnsi="宋体"/>
          <w:bCs/>
          <w:color w:val="000000" w:themeColor="text1"/>
          <w:sz w:val="24"/>
          <w:szCs w:val="28"/>
          <w:highlight w:val="none"/>
          <w14:textFill>
            <w14:solidFill>
              <w14:schemeClr w14:val="tx1"/>
            </w14:solidFill>
          </w14:textFill>
        </w:rPr>
        <w:t>涉税专业服务机构仅能查询本机构的涉税专业服务信用等级及积分明细和所属从事涉税服务人员的信用积分。</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hint="eastAsia" w:ascii="Times New Roman" w:hAnsi="Times New Roman" w:cs="Times New Roman"/>
          <w:bCs/>
          <w:color w:val="000000" w:themeColor="text1"/>
          <w:sz w:val="24"/>
          <w:szCs w:val="28"/>
          <w:highlight w:val="none"/>
          <w14:textFill>
            <w14:solidFill>
              <w14:schemeClr w14:val="tx1"/>
            </w14:solidFill>
          </w14:textFill>
        </w:rPr>
        <w:t>2.</w:t>
      </w:r>
      <w:r>
        <w:rPr>
          <w:rFonts w:ascii="宋体" w:hAnsi="宋体"/>
          <w:bCs/>
          <w:color w:val="000000" w:themeColor="text1"/>
          <w:sz w:val="24"/>
          <w:szCs w:val="28"/>
          <w:highlight w:val="none"/>
          <w14:textFill>
            <w14:solidFill>
              <w14:schemeClr w14:val="tx1"/>
            </w14:solidFill>
          </w14:textFill>
        </w:rPr>
        <w:t>从事涉税服务人员仅能查询本人的信用积分明细。</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p>
    <w:p>
      <w:pPr>
        <w:wordWrap w:val="0"/>
        <w:spacing w:beforeLines="100" w:afterLines="100" w:line="360" w:lineRule="auto"/>
        <w:ind w:firstLine="562" w:firstLineChars="200"/>
        <w:outlineLvl w:val="2"/>
        <w:rPr>
          <w:rFonts w:eastAsia="黑体" w:cs="Times New Roman"/>
          <w:b/>
          <w:bCs/>
          <w:color w:val="000000" w:themeColor="text1"/>
          <w:kern w:val="24"/>
          <w:sz w:val="28"/>
          <w:szCs w:val="28"/>
          <w:highlight w:val="none"/>
          <w14:textFill>
            <w14:solidFill>
              <w14:schemeClr w14:val="tx1"/>
            </w14:solidFill>
          </w14:textFill>
        </w:rPr>
      </w:pPr>
      <w:bookmarkStart w:id="8" w:name="_Toc17506"/>
      <w:r>
        <w:rPr>
          <w:rFonts w:hint="eastAsia" w:ascii="Times New Roman" w:hAnsi="Times New Roman" w:eastAsia="黑体" w:cs="Times New Roman"/>
          <w:b/>
          <w:bCs/>
          <w:color w:val="000000" w:themeColor="text1"/>
          <w:kern w:val="24"/>
          <w:sz w:val="28"/>
          <w:szCs w:val="28"/>
          <w:highlight w:val="none"/>
          <w14:textFill>
            <w14:solidFill>
              <w14:schemeClr w14:val="tx1"/>
            </w14:solidFill>
          </w14:textFill>
        </w:rPr>
        <w:t>14.</w:t>
      </w:r>
      <w:r>
        <w:rPr>
          <w:rFonts w:hint="eastAsia" w:ascii="Times New Roman" w:hAnsi="Times New Roman" w:eastAsia="黑体" w:cs="Times New Roman"/>
          <w:b/>
          <w:bCs/>
          <w:color w:val="000000" w:themeColor="text1"/>
          <w:kern w:val="24"/>
          <w:sz w:val="28"/>
          <w:szCs w:val="28"/>
          <w:highlight w:val="none"/>
          <w:lang w:val="en-US" w:eastAsia="zh-CN"/>
          <w14:textFill>
            <w14:solidFill>
              <w14:schemeClr w14:val="tx1"/>
            </w14:solidFill>
          </w14:textFill>
        </w:rPr>
        <w:t>6</w:t>
      </w:r>
      <w:r>
        <w:rPr>
          <w:rFonts w:eastAsia="黑体" w:cs="Times New Roman"/>
          <w:b/>
          <w:bCs/>
          <w:color w:val="000000" w:themeColor="text1"/>
          <w:kern w:val="24"/>
          <w:sz w:val="28"/>
          <w:szCs w:val="28"/>
          <w:highlight w:val="none"/>
          <w14:textFill>
            <w14:solidFill>
              <w14:schemeClr w14:val="tx1"/>
            </w14:solidFill>
          </w14:textFill>
        </w:rPr>
        <w:t>—</w:t>
      </w:r>
      <w:r>
        <w:rPr>
          <w:rFonts w:hint="eastAsia" w:ascii="Times New Roman" w:hAnsi="Times New Roman" w:eastAsia="黑体" w:cs="Times New Roman"/>
          <w:b/>
          <w:bCs/>
          <w:color w:val="000000" w:themeColor="text1"/>
          <w:kern w:val="24"/>
          <w:sz w:val="28"/>
          <w:szCs w:val="28"/>
          <w:highlight w:val="none"/>
          <w14:textFill>
            <w14:solidFill>
              <w14:schemeClr w14:val="tx1"/>
            </w14:solidFill>
          </w14:textFill>
        </w:rPr>
        <w:t>1</w:t>
      </w:r>
      <w:r>
        <w:rPr>
          <w:rFonts w:hint="eastAsia" w:ascii="Times New Roman" w:hAnsi="Times New Roman" w:eastAsia="黑体" w:cs="Times New Roman"/>
          <w:b/>
          <w:bCs/>
          <w:color w:val="000000" w:themeColor="text1"/>
          <w:kern w:val="24"/>
          <w:sz w:val="28"/>
          <w:szCs w:val="28"/>
          <w:highlight w:val="none"/>
          <w:lang w:val="en-US" w:eastAsia="zh-CN"/>
          <w14:textFill>
            <w14:solidFill>
              <w14:schemeClr w14:val="tx1"/>
            </w14:solidFill>
          </w14:textFill>
        </w:rPr>
        <w:t>57</w:t>
      </w:r>
      <w:r>
        <w:rPr>
          <w:rFonts w:eastAsia="黑体" w:cs="Times New Roman"/>
          <w:b/>
          <w:bCs/>
          <w:color w:val="000000" w:themeColor="text1"/>
          <w:kern w:val="24"/>
          <w:sz w:val="28"/>
          <w:szCs w:val="28"/>
          <w:highlight w:val="none"/>
          <w14:textFill>
            <w14:solidFill>
              <w14:schemeClr w14:val="tx1"/>
            </w14:solidFill>
          </w14:textFill>
        </w:rPr>
        <w:t>　涉税专业服务年度报告报送</w:t>
      </w:r>
      <w:bookmarkEnd w:id="8"/>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【事项名称】</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color w:val="000000" w:themeColor="text1"/>
          <w:sz w:val="24"/>
          <w:szCs w:val="28"/>
          <w:highlight w:val="none"/>
          <w14:textFill>
            <w14:solidFill>
              <w14:schemeClr w14:val="tx1"/>
            </w14:solidFill>
          </w14:textFill>
        </w:rPr>
        <w:t>涉税专业服务年度报告报送</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w:t>
      </w:r>
      <w:r>
        <w:rPr>
          <w:rFonts w:hint="eastAsia" w:ascii="黑体" w:hAnsi="黑体" w:eastAsia="黑体" w:cs="Times New Roman"/>
          <w:bCs/>
          <w:color w:val="000000" w:themeColor="text1"/>
          <w:sz w:val="24"/>
          <w:szCs w:val="28"/>
          <w:highlight w:val="none"/>
          <w14:textFill>
            <w14:solidFill>
              <w14:schemeClr w14:val="tx1"/>
            </w14:solidFill>
          </w14:textFill>
        </w:rPr>
        <w:t>申请条件</w:t>
      </w:r>
      <w:r>
        <w:rPr>
          <w:rFonts w:ascii="黑体" w:hAnsi="黑体" w:eastAsia="黑体" w:cs="Times New Roman"/>
          <w:bCs/>
          <w:color w:val="000000" w:themeColor="text1"/>
          <w:sz w:val="24"/>
          <w:szCs w:val="28"/>
          <w:highlight w:val="none"/>
          <w14:textFill>
            <w14:solidFill>
              <w14:schemeClr w14:val="tx1"/>
            </w14:solidFill>
          </w14:textFill>
        </w:rPr>
        <w:t>】</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bCs/>
          <w:color w:val="000000" w:themeColor="text1"/>
          <w:sz w:val="24"/>
          <w:szCs w:val="28"/>
          <w:highlight w:val="none"/>
          <w14:textFill>
            <w14:solidFill>
              <w14:schemeClr w14:val="tx1"/>
            </w14:solidFill>
          </w14:textFill>
        </w:rPr>
        <w:t>涉税专业服务机构应当于每年</w:t>
      </w:r>
      <w:r>
        <w:rPr>
          <w:rFonts w:hint="eastAsia" w:ascii="Times New Roman" w:hAnsi="Times New Roman" w:cs="Times New Roman"/>
          <w:bCs/>
          <w:color w:val="000000" w:themeColor="text1"/>
          <w:sz w:val="24"/>
          <w:szCs w:val="28"/>
          <w:highlight w:val="none"/>
          <w14:textFill>
            <w14:solidFill>
              <w14:schemeClr w14:val="tx1"/>
            </w14:solidFill>
          </w14:textFill>
        </w:rPr>
        <w:t>3</w:t>
      </w:r>
      <w:r>
        <w:rPr>
          <w:rFonts w:ascii="宋体" w:hAnsi="宋体"/>
          <w:bCs/>
          <w:color w:val="000000" w:themeColor="text1"/>
          <w:sz w:val="24"/>
          <w:szCs w:val="28"/>
          <w:highlight w:val="none"/>
          <w14:textFill>
            <w14:solidFill>
              <w14:schemeClr w14:val="tx1"/>
            </w14:solidFill>
          </w14:textFill>
        </w:rPr>
        <w:t>月</w:t>
      </w:r>
      <w:r>
        <w:rPr>
          <w:rFonts w:hint="eastAsia" w:ascii="Times New Roman" w:hAnsi="Times New Roman" w:cs="Times New Roman"/>
          <w:bCs/>
          <w:color w:val="000000" w:themeColor="text1"/>
          <w:sz w:val="24"/>
          <w:szCs w:val="28"/>
          <w:highlight w:val="none"/>
          <w14:textFill>
            <w14:solidFill>
              <w14:schemeClr w14:val="tx1"/>
            </w14:solidFill>
          </w14:textFill>
        </w:rPr>
        <w:t>31</w:t>
      </w:r>
      <w:r>
        <w:rPr>
          <w:rFonts w:ascii="宋体" w:hAnsi="宋体"/>
          <w:bCs/>
          <w:color w:val="000000" w:themeColor="text1"/>
          <w:sz w:val="24"/>
          <w:szCs w:val="28"/>
          <w:highlight w:val="none"/>
          <w14:textFill>
            <w14:solidFill>
              <w14:schemeClr w14:val="tx1"/>
            </w14:solidFill>
          </w14:textFill>
        </w:rPr>
        <w:t>日前，以年度报告形式向税务机关报送上一年度从事涉税专业服务的总体情况。</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【设定依据】</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hint="eastAsia" w:ascii="Times New Roman" w:hAnsi="Times New Roman" w:cs="Times New Roman"/>
          <w:bCs/>
          <w:color w:val="000000" w:themeColor="text1"/>
          <w:sz w:val="24"/>
          <w:szCs w:val="28"/>
          <w:highlight w:val="none"/>
          <w14:textFill>
            <w14:solidFill>
              <w14:schemeClr w14:val="tx1"/>
            </w14:solidFill>
          </w14:textFill>
        </w:rPr>
        <w:t>1.</w:t>
      </w:r>
      <w:r>
        <w:rPr>
          <w:rFonts w:ascii="宋体" w:hAnsi="宋体"/>
          <w:bCs/>
          <w:color w:val="000000" w:themeColor="text1"/>
          <w:sz w:val="24"/>
          <w:szCs w:val="28"/>
          <w:highlight w:val="none"/>
          <w14:textFill>
            <w14:solidFill>
              <w14:schemeClr w14:val="tx1"/>
            </w14:solidFill>
          </w14:textFill>
        </w:rPr>
        <w:t>《国家税务总局关于发布&lt;涉税专业服务监管办法（试行）&gt;的公告》（国家税务总局公告</w:t>
      </w:r>
      <w:r>
        <w:rPr>
          <w:rFonts w:hint="eastAsia" w:ascii="Times New Roman" w:hAnsi="Times New Roman" w:cs="Times New Roman"/>
          <w:bCs/>
          <w:color w:val="000000" w:themeColor="text1"/>
          <w:sz w:val="24"/>
          <w:szCs w:val="28"/>
          <w:highlight w:val="none"/>
          <w14:textFill>
            <w14:solidFill>
              <w14:schemeClr w14:val="tx1"/>
            </w14:solidFill>
          </w14:textFill>
        </w:rPr>
        <w:t>2017</w:t>
      </w:r>
      <w:r>
        <w:rPr>
          <w:rFonts w:ascii="宋体" w:hAnsi="宋体"/>
          <w:bCs/>
          <w:color w:val="000000" w:themeColor="text1"/>
          <w:sz w:val="24"/>
          <w:szCs w:val="28"/>
          <w:highlight w:val="none"/>
          <w14:textFill>
            <w14:solidFill>
              <w14:schemeClr w14:val="tx1"/>
            </w14:solidFill>
          </w14:textFill>
        </w:rPr>
        <w:t>年第</w:t>
      </w:r>
      <w:r>
        <w:rPr>
          <w:rFonts w:hint="eastAsia" w:ascii="Times New Roman" w:hAnsi="Times New Roman" w:cs="Times New Roman"/>
          <w:bCs/>
          <w:color w:val="000000" w:themeColor="text1"/>
          <w:sz w:val="24"/>
          <w:szCs w:val="28"/>
          <w:highlight w:val="none"/>
          <w14:textFill>
            <w14:solidFill>
              <w14:schemeClr w14:val="tx1"/>
            </w14:solidFill>
          </w14:textFill>
        </w:rPr>
        <w:t>13</w:t>
      </w:r>
      <w:r>
        <w:rPr>
          <w:rFonts w:ascii="宋体" w:hAnsi="宋体"/>
          <w:bCs/>
          <w:color w:val="000000" w:themeColor="text1"/>
          <w:sz w:val="24"/>
          <w:szCs w:val="28"/>
          <w:highlight w:val="none"/>
          <w14:textFill>
            <w14:solidFill>
              <w14:schemeClr w14:val="tx1"/>
            </w14:solidFill>
          </w14:textFill>
        </w:rPr>
        <w:t>号）第九条</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hint="eastAsia" w:ascii="Times New Roman" w:hAnsi="Times New Roman" w:cs="Times New Roman"/>
          <w:bCs/>
          <w:color w:val="000000" w:themeColor="text1"/>
          <w:sz w:val="24"/>
          <w:szCs w:val="28"/>
          <w:highlight w:val="none"/>
          <w14:textFill>
            <w14:solidFill>
              <w14:schemeClr w14:val="tx1"/>
            </w14:solidFill>
          </w14:textFill>
        </w:rPr>
        <w:t>2.</w:t>
      </w:r>
      <w:r>
        <w:rPr>
          <w:rFonts w:ascii="宋体" w:hAnsi="宋体"/>
          <w:bCs/>
          <w:color w:val="000000" w:themeColor="text1"/>
          <w:sz w:val="24"/>
          <w:szCs w:val="28"/>
          <w:highlight w:val="none"/>
          <w14:textFill>
            <w14:solidFill>
              <w14:schemeClr w14:val="tx1"/>
            </w14:solidFill>
          </w14:textFill>
        </w:rPr>
        <w:t>《国家税务总局关于采集涉税专业服务基本信息和业务信息有关事项的公告》（国家税务总局公告</w:t>
      </w:r>
      <w:r>
        <w:rPr>
          <w:rFonts w:hint="eastAsia" w:ascii="Times New Roman" w:hAnsi="Times New Roman" w:cs="Times New Roman"/>
          <w:bCs/>
          <w:color w:val="000000" w:themeColor="text1"/>
          <w:sz w:val="24"/>
          <w:szCs w:val="28"/>
          <w:highlight w:val="none"/>
          <w14:textFill>
            <w14:solidFill>
              <w14:schemeClr w14:val="tx1"/>
            </w14:solidFill>
          </w14:textFill>
        </w:rPr>
        <w:t>2017</w:t>
      </w:r>
      <w:r>
        <w:rPr>
          <w:rFonts w:ascii="宋体" w:hAnsi="宋体"/>
          <w:bCs/>
          <w:color w:val="000000" w:themeColor="text1"/>
          <w:sz w:val="24"/>
          <w:szCs w:val="28"/>
          <w:highlight w:val="none"/>
          <w14:textFill>
            <w14:solidFill>
              <w14:schemeClr w14:val="tx1"/>
            </w14:solidFill>
          </w14:textFill>
        </w:rPr>
        <w:t>年第</w:t>
      </w:r>
      <w:r>
        <w:rPr>
          <w:rFonts w:hint="eastAsia" w:ascii="Times New Roman" w:hAnsi="Times New Roman" w:cs="Times New Roman"/>
          <w:bCs/>
          <w:color w:val="000000" w:themeColor="text1"/>
          <w:sz w:val="24"/>
          <w:szCs w:val="28"/>
          <w:highlight w:val="none"/>
          <w14:textFill>
            <w14:solidFill>
              <w14:schemeClr w14:val="tx1"/>
            </w14:solidFill>
          </w14:textFill>
        </w:rPr>
        <w:t>49</w:t>
      </w:r>
      <w:r>
        <w:rPr>
          <w:rFonts w:ascii="宋体" w:hAnsi="宋体"/>
          <w:bCs/>
          <w:color w:val="000000" w:themeColor="text1"/>
          <w:sz w:val="24"/>
          <w:szCs w:val="28"/>
          <w:highlight w:val="none"/>
          <w14:textFill>
            <w14:solidFill>
              <w14:schemeClr w14:val="tx1"/>
            </w14:solidFill>
          </w14:textFill>
        </w:rPr>
        <w:t>号）第二条</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【办理材料】</w:t>
      </w:r>
    </w:p>
    <w:tbl>
      <w:tblPr>
        <w:tblStyle w:val="13"/>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4535"/>
        <w:gridCol w:w="68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序号</w:t>
            </w:r>
          </w:p>
        </w:tc>
        <w:tc>
          <w:tcPr>
            <w:tcW w:w="45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数量</w:t>
            </w:r>
          </w:p>
        </w:tc>
        <w:tc>
          <w:tcPr>
            <w:tcW w:w="22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1</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ascii="黑体" w:hAnsi="黑体" w:eastAsia="黑体"/>
                <w:color w:val="000000" w:themeColor="text1"/>
                <w:sz w:val="18"/>
                <w:szCs w:val="18"/>
                <w:highlight w:val="none"/>
                <w14:textFill>
                  <w14:solidFill>
                    <w14:schemeClr w14:val="tx1"/>
                  </w14:solidFill>
                </w14:textFill>
              </w:rPr>
              <w:t>《年度涉税专业服务总体情况表》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2</w:t>
            </w:r>
            <w:r>
              <w:rPr>
                <w:rFonts w:ascii="黑体" w:hAnsi="黑体" w:eastAsia="黑体" w:cs="Microsoft Himalaya"/>
                <w:color w:val="000000" w:themeColor="text1"/>
                <w:sz w:val="18"/>
                <w:szCs w:val="18"/>
                <w:highlight w:val="none"/>
                <w14:textFill>
                  <w14:solidFill>
                    <w14:schemeClr w14:val="tx1"/>
                  </w14:solidFill>
                </w14:textFill>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r>
              <w:rPr>
                <w:rFonts w:ascii="黑体" w:hAnsi="黑体" w:eastAsia="黑体" w:cs="Microsoft Himalaya"/>
                <w:color w:val="000000" w:themeColor="text1"/>
                <w:sz w:val="18"/>
                <w:szCs w:val="18"/>
                <w:highlight w:val="none"/>
                <w14:textFill>
                  <w14:solidFill>
                    <w14:schemeClr w14:val="tx1"/>
                  </w14:solidFill>
                </w14:textFill>
              </w:rPr>
              <w:t>税务机关和涉税专业服务机构各留存一份</w:t>
            </w:r>
          </w:p>
        </w:tc>
      </w:tr>
    </w:tbl>
    <w:p>
      <w:pPr>
        <w:wordWrap w:val="0"/>
        <w:spacing w:line="360" w:lineRule="auto"/>
        <w:ind w:firstLine="480"/>
        <w:rPr>
          <w:rFonts w:ascii="宋体" w:hAnsi="宋体"/>
          <w:b/>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【办理地点】</w:t>
      </w:r>
    </w:p>
    <w:p>
      <w:pPr>
        <w:wordWrap w:val="0"/>
        <w:spacing w:line="360" w:lineRule="auto"/>
        <w:ind w:firstLine="480"/>
        <w:rPr>
          <w:rFonts w:hint="eastAsia" w:ascii="宋体" w:hAnsi="宋体" w:cs="Times New Roman"/>
          <w:color w:val="000000" w:themeColor="text1"/>
          <w:sz w:val="24"/>
          <w:szCs w:val="28"/>
          <w:highlight w:val="none"/>
          <w14:textFill>
            <w14:solidFill>
              <w14:schemeClr w14:val="tx1"/>
            </w14:solidFill>
          </w14:textFill>
        </w:rPr>
      </w:pPr>
      <w:r>
        <w:rPr>
          <w:rFonts w:hint="eastAsia" w:ascii="宋体" w:hAnsi="宋体" w:cs="Times New Roman"/>
          <w:color w:val="000000" w:themeColor="text1"/>
          <w:sz w:val="24"/>
          <w:szCs w:val="28"/>
          <w:highlight w:val="none"/>
          <w14:textFill>
            <w14:solidFill>
              <w14:schemeClr w14:val="tx1"/>
            </w14:solidFill>
          </w14:textFill>
        </w:rPr>
        <w:t>可通过电子税务局</w:t>
      </w:r>
      <w:r>
        <w:rPr>
          <w:rFonts w:hint="eastAsia" w:ascii="宋体" w:hAnsi="宋体" w:eastAsia="宋体" w:cstheme="minorBidi"/>
          <w:bCs w:val="0"/>
          <w:highlight w:val="none"/>
          <w:lang w:eastAsia="zh-CN"/>
        </w:rPr>
        <w:t>（http://etax.yunnan.chinatax.gov.cn）</w:t>
      </w:r>
      <w:r>
        <w:rPr>
          <w:rFonts w:hint="eastAsia" w:ascii="宋体" w:hAnsi="宋体" w:cs="Times New Roman"/>
          <w:color w:val="000000" w:themeColor="text1"/>
          <w:sz w:val="24"/>
          <w:szCs w:val="28"/>
          <w:highlight w:val="none"/>
          <w14:textFill>
            <w14:solidFill>
              <w14:schemeClr w14:val="tx1"/>
            </w14:solidFill>
          </w14:textFill>
        </w:rPr>
        <w:t>办理</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【办理机构】</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主管税务机关</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【收费标准】</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不收费</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【办理时间】</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即时办结</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【联系电话】</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主管税务机关对外公开的联系电话，可从</w:t>
      </w:r>
      <w:r>
        <w:rPr>
          <w:rFonts w:hint="eastAsia" w:ascii="宋体" w:hAnsi="宋体" w:cs="Times New Roman"/>
          <w:color w:val="000000" w:themeColor="text1"/>
          <w:sz w:val="24"/>
          <w:szCs w:val="28"/>
          <w:highlight w:val="none"/>
          <w:lang w:eastAsia="zh-CN"/>
          <w14:textFill>
            <w14:solidFill>
              <w14:schemeClr w14:val="tx1"/>
            </w14:solidFill>
          </w14:textFill>
        </w:rPr>
        <w:t>云南省</w:t>
      </w:r>
      <w:r>
        <w:rPr>
          <w:rFonts w:ascii="宋体" w:hAnsi="宋体" w:cs="Times New Roman"/>
          <w:color w:val="000000" w:themeColor="text1"/>
          <w:sz w:val="24"/>
          <w:szCs w:val="28"/>
          <w:highlight w:val="none"/>
          <w14:textFill>
            <w14:solidFill>
              <w14:schemeClr w14:val="tx1"/>
            </w14:solidFill>
          </w14:textFill>
        </w:rPr>
        <w:t>税务局网站“纳税服务”栏目查询。</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【办理流程】</w:t>
      </w:r>
    </w:p>
    <w:p>
      <w:pPr>
        <w:wordWrap w:val="0"/>
        <w:spacing w:line="360" w:lineRule="auto"/>
        <w:rPr>
          <w:rFonts w:ascii="宋体" w:hAnsi="宋体" w:cs="Times New Roman"/>
          <w:color w:val="000000" w:themeColor="text1"/>
          <w:highlight w:val="none"/>
          <w14:textFill>
            <w14:solidFill>
              <w14:schemeClr w14:val="tx1"/>
            </w14:solidFill>
          </w14:textFill>
        </w:rPr>
      </w:pPr>
      <w:r>
        <w:rPr>
          <w:rFonts w:ascii="宋体" w:hAnsi="宋体" w:cs="Times New Roman"/>
          <w:color w:val="000000" w:themeColor="text1"/>
          <w:highlight w:val="none"/>
          <w14:textFill>
            <w14:solidFill>
              <w14:schemeClr w14:val="tx1"/>
            </w14:solidFill>
          </w14:textFill>
        </w:rPr>
        <w:drawing>
          <wp:inline distT="0" distB="0" distL="114300" distR="114300">
            <wp:extent cx="5184140" cy="1769745"/>
            <wp:effectExtent l="0" t="0" r="12700" b="0"/>
            <wp:docPr id="138" name="图片 138" descr="C:\Users\baoqianyu\Desktop\流程图\即办\涉税专业服务机构.png涉税专业服务机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38" descr="C:\Users\baoqianyu\Desktop\流程图\即办\涉税专业服务机构.png涉税专业服务机构"/>
                    <pic:cNvPicPr>
                      <a:picLocks noChangeAspect="1"/>
                    </pic:cNvPicPr>
                  </pic:nvPicPr>
                  <pic:blipFill>
                    <a:blip r:embed="rId7"/>
                    <a:srcRect/>
                    <a:stretch>
                      <a:fillRect/>
                    </a:stretch>
                  </pic:blipFill>
                  <pic:spPr>
                    <a:xfrm>
                      <a:off x="0" y="0"/>
                      <a:ext cx="5184140" cy="1769745"/>
                    </a:xfrm>
                    <a:prstGeom prst="rect">
                      <a:avLst/>
                    </a:prstGeom>
                  </pic:spPr>
                </pic:pic>
              </a:graphicData>
            </a:graphic>
          </wp:inline>
        </w:drawing>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【注意事项】</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1.</w:t>
      </w:r>
      <w:r>
        <w:rPr>
          <w:rFonts w:ascii="宋体" w:hAnsi="宋体"/>
          <w:color w:val="000000" w:themeColor="text1"/>
          <w:sz w:val="24"/>
          <w:szCs w:val="28"/>
          <w:highlight w:val="none"/>
          <w14:textFill>
            <w14:solidFill>
              <w14:schemeClr w14:val="tx1"/>
            </w14:solidFill>
          </w14:textFill>
        </w:rPr>
        <w:t>涉税专业服务机构应主动报送相关信息并对信息的真实性、完整性、合法性和准确性负责。</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2.</w:t>
      </w:r>
      <w:r>
        <w:rPr>
          <w:rFonts w:hint="eastAsia" w:ascii="宋体" w:hAnsi="宋体" w:cs="Times New Roman"/>
          <w:color w:val="000000" w:themeColor="text1"/>
          <w:sz w:val="24"/>
          <w:szCs w:val="28"/>
          <w:highlight w:val="none"/>
          <w:lang w:eastAsia="zh-CN"/>
          <w14:textFill>
            <w14:solidFill>
              <w14:schemeClr w14:val="tx1"/>
            </w14:solidFill>
          </w14:textFill>
        </w:rPr>
        <w:t>文书表单可在云南省税务局网站“下载中心”栏目查询下载或到办税服务厅领取</w:t>
      </w:r>
      <w:r>
        <w:rPr>
          <w:rFonts w:ascii="宋体" w:hAnsi="宋体" w:cs="Times New Roman"/>
          <w:color w:val="000000" w:themeColor="text1"/>
          <w:sz w:val="24"/>
          <w:szCs w:val="28"/>
          <w:highlight w:val="none"/>
          <w14:textFill>
            <w14:solidFill>
              <w14:schemeClr w14:val="tx1"/>
            </w14:solidFill>
          </w14:textFill>
        </w:rPr>
        <w:t>。</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3.</w:t>
      </w:r>
      <w:r>
        <w:rPr>
          <w:rFonts w:ascii="宋体" w:hAnsi="宋体"/>
          <w:color w:val="000000" w:themeColor="text1"/>
          <w:sz w:val="24"/>
          <w:szCs w:val="28"/>
          <w:highlight w:val="none"/>
          <w14:textFill>
            <w14:solidFill>
              <w14:schemeClr w14:val="tx1"/>
            </w14:solidFill>
          </w14:textFill>
        </w:rPr>
        <w:t>涉税专业服务机构通过电子税务局办理</w:t>
      </w:r>
      <w:r>
        <w:rPr>
          <w:rFonts w:hint="eastAsia" w:ascii="宋体" w:hAnsi="宋体"/>
          <w:color w:val="000000" w:themeColor="text1"/>
          <w:sz w:val="24"/>
          <w:szCs w:val="28"/>
          <w:highlight w:val="none"/>
          <w:lang w:eastAsia="zh-CN"/>
          <w14:textFill>
            <w14:solidFill>
              <w14:schemeClr w14:val="tx1"/>
            </w14:solidFill>
          </w14:textFill>
        </w:rPr>
        <w:t>时</w:t>
      </w:r>
      <w:r>
        <w:rPr>
          <w:rFonts w:ascii="宋体" w:hAnsi="宋体"/>
          <w:color w:val="000000" w:themeColor="text1"/>
          <w:sz w:val="24"/>
          <w:szCs w:val="28"/>
          <w:highlight w:val="none"/>
          <w14:textFill>
            <w14:solidFill>
              <w14:schemeClr w14:val="tx1"/>
            </w14:solidFill>
          </w14:textFill>
        </w:rPr>
        <w:t>，按照系统反馈信息，自行打印《年度涉税专业服务总体情况表》留存。</w:t>
      </w:r>
    </w:p>
    <w:p>
      <w:pPr>
        <w:wordWrap w:val="0"/>
        <w:spacing w:beforeLines="100" w:afterLines="100" w:line="360" w:lineRule="auto"/>
        <w:ind w:firstLine="562" w:firstLineChars="200"/>
        <w:outlineLvl w:val="2"/>
        <w:rPr>
          <w:rFonts w:hint="eastAsia" w:ascii="Times New Roman" w:hAnsi="Times New Roman" w:eastAsia="黑体" w:cs="Times New Roman"/>
          <w:b/>
          <w:bCs/>
          <w:color w:val="000000" w:themeColor="text1"/>
          <w:kern w:val="24"/>
          <w:sz w:val="28"/>
          <w:szCs w:val="28"/>
          <w:highlight w:val="none"/>
          <w14:textFill>
            <w14:solidFill>
              <w14:schemeClr w14:val="tx1"/>
            </w14:solidFill>
          </w14:textFill>
        </w:rPr>
      </w:pPr>
      <w:bookmarkStart w:id="9" w:name="_Toc11464"/>
      <w:r>
        <w:rPr>
          <w:rFonts w:hint="eastAsia" w:ascii="Times New Roman" w:hAnsi="Times New Roman" w:eastAsia="黑体" w:cs="Times New Roman"/>
          <w:b/>
          <w:bCs/>
          <w:color w:val="000000" w:themeColor="text1"/>
          <w:kern w:val="24"/>
          <w:sz w:val="28"/>
          <w:szCs w:val="28"/>
          <w:highlight w:val="none"/>
          <w14:textFill>
            <w14:solidFill>
              <w14:schemeClr w14:val="tx1"/>
            </w14:solidFill>
          </w14:textFill>
        </w:rPr>
        <w:t>14.</w:t>
      </w:r>
      <w:r>
        <w:rPr>
          <w:rFonts w:hint="eastAsia" w:ascii="Times New Roman" w:hAnsi="Times New Roman" w:eastAsia="黑体" w:cs="Times New Roman"/>
          <w:b/>
          <w:bCs/>
          <w:color w:val="000000" w:themeColor="text1"/>
          <w:kern w:val="24"/>
          <w:sz w:val="28"/>
          <w:szCs w:val="28"/>
          <w:highlight w:val="none"/>
          <w:lang w:val="en-US" w:eastAsia="zh-CN"/>
          <w14:textFill>
            <w14:solidFill>
              <w14:schemeClr w14:val="tx1"/>
            </w14:solidFill>
          </w14:textFill>
        </w:rPr>
        <w:t>7</w:t>
      </w:r>
      <w:r>
        <w:rPr>
          <w:rFonts w:hint="eastAsia" w:ascii="Times New Roman" w:hAnsi="Times New Roman" w:eastAsia="黑体" w:cs="Times New Roman"/>
          <w:b/>
          <w:bCs/>
          <w:color w:val="000000" w:themeColor="text1"/>
          <w:kern w:val="24"/>
          <w:sz w:val="28"/>
          <w:szCs w:val="28"/>
          <w:highlight w:val="none"/>
          <w14:textFill>
            <w14:solidFill>
              <w14:schemeClr w14:val="tx1"/>
            </w14:solidFill>
          </w14:textFill>
        </w:rPr>
        <w:t>—1</w:t>
      </w:r>
      <w:r>
        <w:rPr>
          <w:rFonts w:hint="eastAsia" w:ascii="Times New Roman" w:hAnsi="Times New Roman" w:eastAsia="黑体" w:cs="Times New Roman"/>
          <w:b/>
          <w:bCs/>
          <w:color w:val="000000" w:themeColor="text1"/>
          <w:kern w:val="24"/>
          <w:sz w:val="28"/>
          <w:szCs w:val="28"/>
          <w:highlight w:val="none"/>
          <w:lang w:val="en-US" w:eastAsia="zh-CN"/>
          <w14:textFill>
            <w14:solidFill>
              <w14:schemeClr w14:val="tx1"/>
            </w14:solidFill>
          </w14:textFill>
        </w:rPr>
        <w:t>58</w:t>
      </w:r>
      <w:r>
        <w:rPr>
          <w:rFonts w:hint="eastAsia" w:ascii="Times New Roman" w:hAnsi="Times New Roman" w:eastAsia="黑体" w:cs="Times New Roman"/>
          <w:b/>
          <w:bCs/>
          <w:color w:val="000000" w:themeColor="text1"/>
          <w:kern w:val="24"/>
          <w:sz w:val="28"/>
          <w:szCs w:val="28"/>
          <w:highlight w:val="none"/>
          <w14:textFill>
            <w14:solidFill>
              <w14:schemeClr w14:val="tx1"/>
            </w14:solidFill>
          </w14:textFill>
        </w:rPr>
        <w:t>　涉税专业服务专项报告报送</w:t>
      </w:r>
      <w:bookmarkEnd w:id="9"/>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【事项名称】</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color w:val="000000" w:themeColor="text1"/>
          <w:sz w:val="24"/>
          <w:szCs w:val="28"/>
          <w:highlight w:val="none"/>
          <w14:textFill>
            <w14:solidFill>
              <w14:schemeClr w14:val="tx1"/>
            </w14:solidFill>
          </w14:textFill>
        </w:rPr>
        <w:t>涉税专业服务专项报告报送</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w:t>
      </w:r>
      <w:r>
        <w:rPr>
          <w:rFonts w:hint="eastAsia" w:ascii="黑体" w:hAnsi="黑体" w:eastAsia="黑体" w:cs="Times New Roman"/>
          <w:bCs/>
          <w:color w:val="000000" w:themeColor="text1"/>
          <w:sz w:val="24"/>
          <w:szCs w:val="28"/>
          <w:highlight w:val="none"/>
          <w14:textFill>
            <w14:solidFill>
              <w14:schemeClr w14:val="tx1"/>
            </w14:solidFill>
          </w14:textFill>
        </w:rPr>
        <w:t>申请条件</w:t>
      </w:r>
      <w:r>
        <w:rPr>
          <w:rFonts w:ascii="黑体" w:hAnsi="黑体" w:eastAsia="黑体" w:cs="Times New Roman"/>
          <w:bCs/>
          <w:color w:val="000000" w:themeColor="text1"/>
          <w:sz w:val="24"/>
          <w:szCs w:val="28"/>
          <w:highlight w:val="none"/>
          <w14:textFill>
            <w14:solidFill>
              <w14:schemeClr w14:val="tx1"/>
            </w14:solidFill>
          </w14:textFill>
        </w:rPr>
        <w:t>】</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ascii="宋体" w:hAnsi="宋体"/>
          <w:bCs/>
          <w:color w:val="000000" w:themeColor="text1"/>
          <w:sz w:val="24"/>
          <w:szCs w:val="28"/>
          <w:highlight w:val="none"/>
          <w14:textFill>
            <w14:solidFill>
              <w14:schemeClr w14:val="tx1"/>
            </w14:solidFill>
          </w14:textFill>
        </w:rPr>
        <w:t>税务师事务所、会计师事务所、律师事务所从事专业税务顾问、税收策划、涉税鉴证、纳税情况审查业务，应当在完成业务的次月向主管税务机关单独报送相关业务信息。</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【设定依据】</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hint="eastAsia" w:ascii="Times New Roman" w:hAnsi="Times New Roman" w:cs="Times New Roman"/>
          <w:bCs/>
          <w:color w:val="000000" w:themeColor="text1"/>
          <w:sz w:val="24"/>
          <w:szCs w:val="28"/>
          <w:highlight w:val="none"/>
          <w14:textFill>
            <w14:solidFill>
              <w14:schemeClr w14:val="tx1"/>
            </w14:solidFill>
          </w14:textFill>
        </w:rPr>
        <w:t>1.</w:t>
      </w:r>
      <w:r>
        <w:rPr>
          <w:rFonts w:ascii="宋体" w:hAnsi="宋体"/>
          <w:bCs/>
          <w:color w:val="000000" w:themeColor="text1"/>
          <w:sz w:val="24"/>
          <w:szCs w:val="28"/>
          <w:highlight w:val="none"/>
          <w14:textFill>
            <w14:solidFill>
              <w14:schemeClr w14:val="tx1"/>
            </w14:solidFill>
          </w14:textFill>
        </w:rPr>
        <w:t>《国家税务总局关于发布&lt;涉税专业服务监管办法（试行）&gt;的公告》（国家税务总局公告</w:t>
      </w:r>
      <w:r>
        <w:rPr>
          <w:rFonts w:hint="eastAsia" w:ascii="Times New Roman" w:hAnsi="Times New Roman" w:cs="Times New Roman"/>
          <w:bCs/>
          <w:color w:val="000000" w:themeColor="text1"/>
          <w:sz w:val="24"/>
          <w:szCs w:val="28"/>
          <w:highlight w:val="none"/>
          <w14:textFill>
            <w14:solidFill>
              <w14:schemeClr w14:val="tx1"/>
            </w14:solidFill>
          </w14:textFill>
        </w:rPr>
        <w:t>2017</w:t>
      </w:r>
      <w:r>
        <w:rPr>
          <w:rFonts w:ascii="宋体" w:hAnsi="宋体"/>
          <w:bCs/>
          <w:color w:val="000000" w:themeColor="text1"/>
          <w:sz w:val="24"/>
          <w:szCs w:val="28"/>
          <w:highlight w:val="none"/>
          <w14:textFill>
            <w14:solidFill>
              <w14:schemeClr w14:val="tx1"/>
            </w14:solidFill>
          </w14:textFill>
        </w:rPr>
        <w:t>年第</w:t>
      </w:r>
      <w:r>
        <w:rPr>
          <w:rFonts w:hint="eastAsia" w:ascii="Times New Roman" w:hAnsi="Times New Roman" w:cs="Times New Roman"/>
          <w:bCs/>
          <w:color w:val="000000" w:themeColor="text1"/>
          <w:sz w:val="24"/>
          <w:szCs w:val="28"/>
          <w:highlight w:val="none"/>
          <w14:textFill>
            <w14:solidFill>
              <w14:schemeClr w14:val="tx1"/>
            </w14:solidFill>
          </w14:textFill>
        </w:rPr>
        <w:t>13</w:t>
      </w:r>
      <w:r>
        <w:rPr>
          <w:rFonts w:ascii="宋体" w:hAnsi="宋体"/>
          <w:bCs/>
          <w:color w:val="000000" w:themeColor="text1"/>
          <w:sz w:val="24"/>
          <w:szCs w:val="28"/>
          <w:highlight w:val="none"/>
          <w14:textFill>
            <w14:solidFill>
              <w14:schemeClr w14:val="tx1"/>
            </w14:solidFill>
          </w14:textFill>
        </w:rPr>
        <w:t>号）第九条</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hint="eastAsia" w:ascii="Times New Roman" w:hAnsi="Times New Roman" w:cs="Times New Roman"/>
          <w:bCs/>
          <w:color w:val="000000" w:themeColor="text1"/>
          <w:sz w:val="24"/>
          <w:szCs w:val="28"/>
          <w:highlight w:val="none"/>
          <w14:textFill>
            <w14:solidFill>
              <w14:schemeClr w14:val="tx1"/>
            </w14:solidFill>
          </w14:textFill>
        </w:rPr>
        <w:t>2.</w:t>
      </w:r>
      <w:r>
        <w:rPr>
          <w:rFonts w:ascii="宋体" w:hAnsi="宋体"/>
          <w:bCs/>
          <w:color w:val="000000" w:themeColor="text1"/>
          <w:sz w:val="24"/>
          <w:szCs w:val="28"/>
          <w:highlight w:val="none"/>
          <w14:textFill>
            <w14:solidFill>
              <w14:schemeClr w14:val="tx1"/>
            </w14:solidFill>
          </w14:textFill>
        </w:rPr>
        <w:t>《国家税务总局关于采集涉税专业服务基本信息和业务信息有关事项的公告》（国家税务总局公告</w:t>
      </w:r>
      <w:r>
        <w:rPr>
          <w:rFonts w:hint="eastAsia" w:ascii="Times New Roman" w:hAnsi="Times New Roman" w:cs="Times New Roman"/>
          <w:bCs/>
          <w:color w:val="000000" w:themeColor="text1"/>
          <w:sz w:val="24"/>
          <w:szCs w:val="28"/>
          <w:highlight w:val="none"/>
          <w14:textFill>
            <w14:solidFill>
              <w14:schemeClr w14:val="tx1"/>
            </w14:solidFill>
          </w14:textFill>
        </w:rPr>
        <w:t>2017</w:t>
      </w:r>
      <w:r>
        <w:rPr>
          <w:rFonts w:ascii="宋体" w:hAnsi="宋体"/>
          <w:bCs/>
          <w:color w:val="000000" w:themeColor="text1"/>
          <w:sz w:val="24"/>
          <w:szCs w:val="28"/>
          <w:highlight w:val="none"/>
          <w14:textFill>
            <w14:solidFill>
              <w14:schemeClr w14:val="tx1"/>
            </w14:solidFill>
          </w14:textFill>
        </w:rPr>
        <w:t>年第</w:t>
      </w:r>
      <w:r>
        <w:rPr>
          <w:rFonts w:hint="eastAsia" w:ascii="Times New Roman" w:hAnsi="Times New Roman" w:cs="Times New Roman"/>
          <w:bCs/>
          <w:color w:val="000000" w:themeColor="text1"/>
          <w:sz w:val="24"/>
          <w:szCs w:val="28"/>
          <w:highlight w:val="none"/>
          <w14:textFill>
            <w14:solidFill>
              <w14:schemeClr w14:val="tx1"/>
            </w14:solidFill>
          </w14:textFill>
        </w:rPr>
        <w:t>49</w:t>
      </w:r>
      <w:r>
        <w:rPr>
          <w:rFonts w:ascii="宋体" w:hAnsi="宋体"/>
          <w:bCs/>
          <w:color w:val="000000" w:themeColor="text1"/>
          <w:sz w:val="24"/>
          <w:szCs w:val="28"/>
          <w:highlight w:val="none"/>
          <w14:textFill>
            <w14:solidFill>
              <w14:schemeClr w14:val="tx1"/>
            </w14:solidFill>
          </w14:textFill>
        </w:rPr>
        <w:t>号）第二条</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【办理材料】</w:t>
      </w:r>
    </w:p>
    <w:tbl>
      <w:tblPr>
        <w:tblStyle w:val="13"/>
        <w:tblW w:w="81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4535"/>
        <w:gridCol w:w="68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序号</w:t>
            </w:r>
          </w:p>
        </w:tc>
        <w:tc>
          <w:tcPr>
            <w:tcW w:w="4535"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材料名称</w:t>
            </w:r>
          </w:p>
        </w:tc>
        <w:tc>
          <w:tcPr>
            <w:tcW w:w="680"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数量</w:t>
            </w:r>
          </w:p>
        </w:tc>
        <w:tc>
          <w:tcPr>
            <w:tcW w:w="2268" w:type="dxa"/>
            <w:tcBorders>
              <w:top w:val="single" w:color="auto" w:sz="4" w:space="0"/>
              <w:left w:val="single" w:color="auto" w:sz="4" w:space="0"/>
              <w:bottom w:val="single" w:color="auto" w:sz="4" w:space="0"/>
              <w:right w:val="single" w:color="auto" w:sz="4" w:space="0"/>
            </w:tcBorders>
            <w:shd w:val="clear" w:color="auto" w:fill="D9D9D9"/>
            <w:vAlign w:val="center"/>
          </w:tcPr>
          <w:p>
            <w:pPr>
              <w:wordWrap w:val="0"/>
              <w:jc w:val="center"/>
              <w:rPr>
                <w:rFonts w:ascii="黑体" w:hAnsi="黑体" w:eastAsia="黑体"/>
                <w:color w:val="000000" w:themeColor="text1"/>
                <w:szCs w:val="21"/>
                <w:highlight w:val="none"/>
                <w14:textFill>
                  <w14:solidFill>
                    <w14:schemeClr w14:val="tx1"/>
                  </w14:solidFill>
                </w14:textFill>
              </w:rPr>
            </w:pPr>
            <w:r>
              <w:rPr>
                <w:rFonts w:ascii="黑体" w:hAnsi="黑体" w:eastAsia="黑体"/>
                <w:color w:val="000000" w:themeColor="text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1</w:t>
            </w:r>
          </w:p>
        </w:tc>
        <w:tc>
          <w:tcPr>
            <w:tcW w:w="4535"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olor w:val="000000" w:themeColor="text1"/>
                <w:sz w:val="18"/>
                <w:szCs w:val="18"/>
                <w:highlight w:val="none"/>
                <w14:textFill>
                  <w14:solidFill>
                    <w14:schemeClr w14:val="tx1"/>
                  </w14:solidFill>
                </w14:textFill>
              </w:rPr>
            </w:pPr>
            <w:r>
              <w:rPr>
                <w:rFonts w:ascii="黑体" w:hAnsi="黑体" w:eastAsia="黑体"/>
                <w:color w:val="000000" w:themeColor="text1"/>
                <w:sz w:val="18"/>
                <w:szCs w:val="18"/>
                <w:highlight w:val="none"/>
                <w14:textFill>
                  <w14:solidFill>
                    <w14:schemeClr w14:val="tx1"/>
                  </w14:solidFill>
                </w14:textFill>
              </w:rPr>
              <w:t>《专项业务报告要素信息采集表》</w:t>
            </w:r>
          </w:p>
        </w:tc>
        <w:tc>
          <w:tcPr>
            <w:tcW w:w="680"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r>
              <w:rPr>
                <w:rFonts w:hint="eastAsia" w:ascii="Times New Roman" w:hAnsi="Times New Roman" w:eastAsia="黑体" w:cs="Times New Roman"/>
                <w:color w:val="000000" w:themeColor="text1"/>
                <w:sz w:val="18"/>
                <w:szCs w:val="18"/>
                <w:highlight w:val="none"/>
                <w14:textFill>
                  <w14:solidFill>
                    <w14:schemeClr w14:val="tx1"/>
                  </w14:solidFill>
                </w14:textFill>
              </w:rPr>
              <w:t>2</w:t>
            </w:r>
            <w:r>
              <w:rPr>
                <w:rFonts w:ascii="黑体" w:hAnsi="黑体" w:eastAsia="黑体" w:cs="Microsoft Himalaya"/>
                <w:color w:val="000000" w:themeColor="text1"/>
                <w:sz w:val="18"/>
                <w:szCs w:val="18"/>
                <w:highlight w:val="none"/>
                <w14:textFill>
                  <w14:solidFill>
                    <w14:schemeClr w14:val="tx1"/>
                  </w14:solidFill>
                </w14:textFill>
              </w:rPr>
              <w:t>份</w:t>
            </w:r>
          </w:p>
        </w:tc>
        <w:tc>
          <w:tcPr>
            <w:tcW w:w="2268" w:type="dxa"/>
            <w:tcBorders>
              <w:top w:val="single" w:color="auto" w:sz="4" w:space="0"/>
              <w:left w:val="single" w:color="auto" w:sz="4" w:space="0"/>
              <w:bottom w:val="single" w:color="auto" w:sz="4" w:space="0"/>
              <w:right w:val="single" w:color="auto" w:sz="4" w:space="0"/>
            </w:tcBorders>
            <w:vAlign w:val="center"/>
          </w:tcPr>
          <w:p>
            <w:pPr>
              <w:wordWrap w:val="0"/>
              <w:jc w:val="center"/>
              <w:rPr>
                <w:rFonts w:ascii="黑体" w:hAnsi="黑体" w:eastAsia="黑体" w:cs="Microsoft Himalaya"/>
                <w:color w:val="000000" w:themeColor="text1"/>
                <w:sz w:val="18"/>
                <w:szCs w:val="18"/>
                <w:highlight w:val="none"/>
                <w14:textFill>
                  <w14:solidFill>
                    <w14:schemeClr w14:val="tx1"/>
                  </w14:solidFill>
                </w14:textFill>
              </w:rPr>
            </w:pPr>
            <w:r>
              <w:rPr>
                <w:rFonts w:ascii="黑体" w:hAnsi="黑体" w:eastAsia="黑体" w:cs="Microsoft Himalaya"/>
                <w:color w:val="000000" w:themeColor="text1"/>
                <w:sz w:val="18"/>
                <w:szCs w:val="18"/>
                <w:highlight w:val="none"/>
                <w14:textFill>
                  <w14:solidFill>
                    <w14:schemeClr w14:val="tx1"/>
                  </w14:solidFill>
                </w14:textFill>
              </w:rPr>
              <w:t>税务机关和涉税专业服务机构各留存一份</w:t>
            </w:r>
          </w:p>
        </w:tc>
      </w:tr>
    </w:tbl>
    <w:p>
      <w:pPr>
        <w:wordWrap w:val="0"/>
        <w:spacing w:line="360" w:lineRule="auto"/>
        <w:ind w:firstLine="480"/>
        <w:rPr>
          <w:rFonts w:ascii="宋体" w:hAnsi="宋体"/>
          <w:b/>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【办理地点】</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hint="eastAsia" w:ascii="宋体" w:hAnsi="宋体" w:cs="Times New Roman"/>
          <w:color w:val="000000" w:themeColor="text1"/>
          <w:sz w:val="24"/>
          <w:szCs w:val="28"/>
          <w:highlight w:val="none"/>
          <w14:textFill>
            <w14:solidFill>
              <w14:schemeClr w14:val="tx1"/>
            </w14:solidFill>
          </w14:textFill>
        </w:rPr>
        <w:t>可通过电子税务局</w:t>
      </w:r>
      <w:r>
        <w:rPr>
          <w:rFonts w:hint="eastAsia" w:ascii="宋体" w:hAnsi="宋体" w:eastAsia="宋体" w:cstheme="minorBidi"/>
          <w:bCs w:val="0"/>
          <w:highlight w:val="none"/>
          <w:lang w:eastAsia="zh-CN"/>
        </w:rPr>
        <w:t>（http://etax.yunnan.chinatax.gov.cn）</w:t>
      </w:r>
      <w:r>
        <w:rPr>
          <w:rFonts w:hint="eastAsia" w:ascii="宋体" w:hAnsi="宋体" w:cs="Times New Roman"/>
          <w:color w:val="000000" w:themeColor="text1"/>
          <w:sz w:val="24"/>
          <w:szCs w:val="28"/>
          <w:highlight w:val="none"/>
          <w14:textFill>
            <w14:solidFill>
              <w14:schemeClr w14:val="tx1"/>
            </w14:solidFill>
          </w14:textFill>
        </w:rPr>
        <w:t>办理。</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【办理机构】</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主管税务机关</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【收费标准】</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不收费</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【办理时间】</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即时办结</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【联系电话】</w:t>
      </w:r>
    </w:p>
    <w:p>
      <w:pPr>
        <w:wordWrap w:val="0"/>
        <w:spacing w:line="360" w:lineRule="auto"/>
        <w:ind w:firstLine="480"/>
        <w:rPr>
          <w:rFonts w:ascii="宋体" w:hAnsi="宋体" w:cs="Times New Roman"/>
          <w:color w:val="000000" w:themeColor="text1"/>
          <w:sz w:val="24"/>
          <w:szCs w:val="28"/>
          <w:highlight w:val="none"/>
          <w14:textFill>
            <w14:solidFill>
              <w14:schemeClr w14:val="tx1"/>
            </w14:solidFill>
          </w14:textFill>
        </w:rPr>
      </w:pPr>
      <w:r>
        <w:rPr>
          <w:rFonts w:ascii="宋体" w:hAnsi="宋体" w:cs="Times New Roman"/>
          <w:color w:val="000000" w:themeColor="text1"/>
          <w:sz w:val="24"/>
          <w:szCs w:val="28"/>
          <w:highlight w:val="none"/>
          <w14:textFill>
            <w14:solidFill>
              <w14:schemeClr w14:val="tx1"/>
            </w14:solidFill>
          </w14:textFill>
        </w:rPr>
        <w:t>主管税务机关对外公开的联系电话，可从</w:t>
      </w:r>
      <w:r>
        <w:rPr>
          <w:rFonts w:hint="eastAsia" w:ascii="宋体" w:hAnsi="宋体" w:cs="Times New Roman"/>
          <w:color w:val="000000" w:themeColor="text1"/>
          <w:sz w:val="24"/>
          <w:szCs w:val="28"/>
          <w:highlight w:val="none"/>
          <w:lang w:eastAsia="zh-CN"/>
          <w14:textFill>
            <w14:solidFill>
              <w14:schemeClr w14:val="tx1"/>
            </w14:solidFill>
          </w14:textFill>
        </w:rPr>
        <w:t>云南省</w:t>
      </w:r>
      <w:r>
        <w:rPr>
          <w:rFonts w:ascii="宋体" w:hAnsi="宋体" w:cs="Times New Roman"/>
          <w:color w:val="000000" w:themeColor="text1"/>
          <w:sz w:val="24"/>
          <w:szCs w:val="28"/>
          <w:highlight w:val="none"/>
          <w14:textFill>
            <w14:solidFill>
              <w14:schemeClr w14:val="tx1"/>
            </w14:solidFill>
          </w14:textFill>
        </w:rPr>
        <w:t>税务局网站“纳税服务”栏目查询。</w:t>
      </w:r>
    </w:p>
    <w:p>
      <w:pPr>
        <w:wordWrap w:val="0"/>
        <w:spacing w:line="360" w:lineRule="auto"/>
        <w:ind w:firstLine="480"/>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【办理流程】</w:t>
      </w:r>
    </w:p>
    <w:p>
      <w:pPr>
        <w:wordWrap w:val="0"/>
        <w:spacing w:line="360" w:lineRule="auto"/>
        <w:rPr>
          <w:rFonts w:ascii="宋体" w:hAnsi="宋体" w:cs="Times New Roman"/>
          <w:color w:val="000000" w:themeColor="text1"/>
          <w:highlight w:val="none"/>
          <w14:textFill>
            <w14:solidFill>
              <w14:schemeClr w14:val="tx1"/>
            </w14:solidFill>
          </w14:textFill>
        </w:rPr>
      </w:pPr>
      <w:r>
        <w:rPr>
          <w:rFonts w:ascii="宋体" w:hAnsi="宋体" w:cs="Times New Roman"/>
          <w:color w:val="000000" w:themeColor="text1"/>
          <w:highlight w:val="none"/>
          <w14:textFill>
            <w14:solidFill>
              <w14:schemeClr w14:val="tx1"/>
            </w14:solidFill>
          </w14:textFill>
        </w:rPr>
        <w:drawing>
          <wp:inline distT="0" distB="0" distL="114300" distR="114300">
            <wp:extent cx="5184140" cy="1769745"/>
            <wp:effectExtent l="0" t="0" r="12700" b="0"/>
            <wp:docPr id="139" name="图片 139" descr="C:\Users\baoqianyu\Desktop\流程图\即办\涉税专业服务机构.png涉税专业服务机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9" descr="C:\Users\baoqianyu\Desktop\流程图\即办\涉税专业服务机构.png涉税专业服务机构"/>
                    <pic:cNvPicPr>
                      <a:picLocks noChangeAspect="1"/>
                    </pic:cNvPicPr>
                  </pic:nvPicPr>
                  <pic:blipFill>
                    <a:blip r:embed="rId7"/>
                    <a:srcRect/>
                    <a:stretch>
                      <a:fillRect/>
                    </a:stretch>
                  </pic:blipFill>
                  <pic:spPr>
                    <a:xfrm>
                      <a:off x="0" y="0"/>
                      <a:ext cx="5184140" cy="1769745"/>
                    </a:xfrm>
                    <a:prstGeom prst="rect">
                      <a:avLst/>
                    </a:prstGeom>
                  </pic:spPr>
                </pic:pic>
              </a:graphicData>
            </a:graphic>
          </wp:inline>
        </w:drawing>
      </w:r>
    </w:p>
    <w:p>
      <w:pPr>
        <w:wordWrap w:val="0"/>
        <w:spacing w:line="360" w:lineRule="auto"/>
        <w:rPr>
          <w:rFonts w:ascii="黑体" w:hAnsi="黑体" w:eastAsia="黑体" w:cs="Times New Roman"/>
          <w:bCs/>
          <w:color w:val="000000" w:themeColor="text1"/>
          <w:sz w:val="24"/>
          <w:szCs w:val="28"/>
          <w:highlight w:val="none"/>
          <w14:textFill>
            <w14:solidFill>
              <w14:schemeClr w14:val="tx1"/>
            </w14:solidFill>
          </w14:textFill>
        </w:rPr>
      </w:pPr>
      <w:r>
        <w:rPr>
          <w:rFonts w:ascii="黑体" w:hAnsi="黑体" w:eastAsia="黑体" w:cs="Times New Roman"/>
          <w:bCs/>
          <w:color w:val="000000" w:themeColor="text1"/>
          <w:sz w:val="24"/>
          <w:szCs w:val="28"/>
          <w:highlight w:val="none"/>
          <w14:textFill>
            <w14:solidFill>
              <w14:schemeClr w14:val="tx1"/>
            </w14:solidFill>
          </w14:textFill>
        </w:rPr>
        <w:t>【注意事项】</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1.</w:t>
      </w:r>
      <w:r>
        <w:rPr>
          <w:rFonts w:ascii="宋体" w:hAnsi="宋体"/>
          <w:color w:val="000000" w:themeColor="text1"/>
          <w:sz w:val="24"/>
          <w:szCs w:val="28"/>
          <w:highlight w:val="none"/>
          <w14:textFill>
            <w14:solidFill>
              <w14:schemeClr w14:val="tx1"/>
            </w14:solidFill>
          </w14:textFill>
        </w:rPr>
        <w:t>涉税专业服务机构应主动报送相关信息并对信息的真实性、完整性、合法性和准确性负责。</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2.</w:t>
      </w:r>
      <w:r>
        <w:rPr>
          <w:rFonts w:hint="eastAsia" w:ascii="宋体" w:hAnsi="宋体" w:cs="Times New Roman"/>
          <w:color w:val="000000" w:themeColor="text1"/>
          <w:sz w:val="24"/>
          <w:szCs w:val="28"/>
          <w:highlight w:val="none"/>
          <w:lang w:eastAsia="zh-CN"/>
          <w14:textFill>
            <w14:solidFill>
              <w14:schemeClr w14:val="tx1"/>
            </w14:solidFill>
          </w14:textFill>
        </w:rPr>
        <w:t>文书表单可在云南省税务局网站“下载中心”栏目查询下载或到办税服务厅领取</w:t>
      </w:r>
      <w:r>
        <w:rPr>
          <w:rFonts w:ascii="宋体" w:hAnsi="宋体" w:cs="Times New Roman"/>
          <w:color w:val="000000" w:themeColor="text1"/>
          <w:sz w:val="24"/>
          <w:szCs w:val="28"/>
          <w:highlight w:val="none"/>
          <w14:textFill>
            <w14:solidFill>
              <w14:schemeClr w14:val="tx1"/>
            </w14:solidFill>
          </w14:textFill>
        </w:rPr>
        <w:t>。</w:t>
      </w:r>
    </w:p>
    <w:p>
      <w:pPr>
        <w:wordWrap w:val="0"/>
        <w:spacing w:line="360" w:lineRule="auto"/>
        <w:ind w:firstLine="480"/>
        <w:rPr>
          <w:rFonts w:ascii="宋体" w:hAnsi="宋体"/>
          <w:color w:val="000000" w:themeColor="text1"/>
          <w:sz w:val="24"/>
          <w:szCs w:val="28"/>
          <w:highlight w:val="none"/>
          <w14:textFill>
            <w14:solidFill>
              <w14:schemeClr w14:val="tx1"/>
            </w14:solidFill>
          </w14:textFill>
        </w:rPr>
      </w:pPr>
      <w:r>
        <w:rPr>
          <w:rFonts w:hint="eastAsia" w:ascii="Times New Roman" w:hAnsi="Times New Roman" w:cs="Times New Roman"/>
          <w:color w:val="000000" w:themeColor="text1"/>
          <w:sz w:val="24"/>
          <w:szCs w:val="28"/>
          <w:highlight w:val="none"/>
          <w14:textFill>
            <w14:solidFill>
              <w14:schemeClr w14:val="tx1"/>
            </w14:solidFill>
          </w14:textFill>
        </w:rPr>
        <w:t>3.</w:t>
      </w:r>
      <w:r>
        <w:rPr>
          <w:rFonts w:ascii="宋体" w:hAnsi="宋体"/>
          <w:color w:val="000000" w:themeColor="text1"/>
          <w:sz w:val="24"/>
          <w:szCs w:val="28"/>
          <w:highlight w:val="none"/>
          <w14:textFill>
            <w14:solidFill>
              <w14:schemeClr w14:val="tx1"/>
            </w14:solidFill>
          </w14:textFill>
        </w:rPr>
        <w:t>涉税专业服务机构通过电子税务局办理的，按照系统反馈信息，自行打印《专项业务报告要素信息采集表》留存。</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hint="eastAsia" w:ascii="Times New Roman" w:hAnsi="Times New Roman" w:cs="Times New Roman"/>
          <w:bCs/>
          <w:color w:val="000000" w:themeColor="text1"/>
          <w:sz w:val="24"/>
          <w:szCs w:val="28"/>
          <w:highlight w:val="none"/>
          <w:lang w:val="en-US" w:eastAsia="zh-CN"/>
          <w14:textFill>
            <w14:solidFill>
              <w14:schemeClr w14:val="tx1"/>
            </w14:solidFill>
          </w14:textFill>
        </w:rPr>
        <w:t>4</w:t>
      </w:r>
      <w:r>
        <w:rPr>
          <w:rFonts w:hint="eastAsia" w:ascii="Times New Roman" w:hAnsi="Times New Roman" w:cs="Times New Roman"/>
          <w:bCs/>
          <w:color w:val="000000" w:themeColor="text1"/>
          <w:sz w:val="24"/>
          <w:szCs w:val="28"/>
          <w:highlight w:val="none"/>
          <w14:textFill>
            <w14:solidFill>
              <w14:schemeClr w14:val="tx1"/>
            </w14:solidFill>
          </w14:textFill>
        </w:rPr>
        <w:t>.</w:t>
      </w:r>
      <w:r>
        <w:rPr>
          <w:rFonts w:ascii="宋体" w:hAnsi="宋体"/>
          <w:bCs/>
          <w:color w:val="000000" w:themeColor="text1"/>
          <w:sz w:val="24"/>
          <w:szCs w:val="28"/>
          <w:highlight w:val="none"/>
          <w14:textFill>
            <w14:solidFill>
              <w14:schemeClr w14:val="tx1"/>
            </w14:solidFill>
          </w14:textFill>
        </w:rPr>
        <w:t>《专项业务报告要素信息采集表》仅采集专项业务报告要素信息，专项业务报告的原件由涉税专业服务机构和委托人双方留存备查，除税收法律、法规及国家税务总局规定报送的外，</w:t>
      </w:r>
      <w:r>
        <w:rPr>
          <w:rFonts w:hint="eastAsia" w:ascii="宋体" w:hAnsi="宋体"/>
          <w:bCs/>
          <w:color w:val="000000" w:themeColor="text1"/>
          <w:sz w:val="24"/>
          <w:szCs w:val="28"/>
          <w:highlight w:val="none"/>
          <w14:textFill>
            <w14:solidFill>
              <w14:schemeClr w14:val="tx1"/>
            </w14:solidFill>
          </w14:textFill>
        </w:rPr>
        <w:t>无需</w:t>
      </w:r>
      <w:r>
        <w:rPr>
          <w:rFonts w:ascii="宋体" w:hAnsi="宋体"/>
          <w:bCs/>
          <w:color w:val="000000" w:themeColor="text1"/>
          <w:sz w:val="24"/>
          <w:szCs w:val="28"/>
          <w:highlight w:val="none"/>
          <w14:textFill>
            <w14:solidFill>
              <w14:schemeClr w14:val="tx1"/>
            </w14:solidFill>
          </w14:textFill>
        </w:rPr>
        <w:t>向税务机关报送。</w:t>
      </w:r>
    </w:p>
    <w:p>
      <w:pPr>
        <w:wordWrap w:val="0"/>
        <w:spacing w:line="360" w:lineRule="auto"/>
        <w:ind w:firstLine="480"/>
        <w:rPr>
          <w:rFonts w:ascii="宋体" w:hAnsi="宋体"/>
          <w:bCs/>
          <w:color w:val="000000" w:themeColor="text1"/>
          <w:sz w:val="24"/>
          <w:szCs w:val="28"/>
          <w:highlight w:val="none"/>
          <w14:textFill>
            <w14:solidFill>
              <w14:schemeClr w14:val="tx1"/>
            </w14:solidFill>
          </w14:textFill>
        </w:rPr>
      </w:pPr>
      <w:r>
        <w:rPr>
          <w:rFonts w:hint="eastAsia" w:ascii="Times New Roman" w:hAnsi="Times New Roman" w:cs="Times New Roman"/>
          <w:bCs/>
          <w:color w:val="000000" w:themeColor="text1"/>
          <w:sz w:val="24"/>
          <w:szCs w:val="28"/>
          <w:highlight w:val="none"/>
          <w:lang w:val="en-US" w:eastAsia="zh-CN"/>
          <w14:textFill>
            <w14:solidFill>
              <w14:schemeClr w14:val="tx1"/>
            </w14:solidFill>
          </w14:textFill>
        </w:rPr>
        <w:t>5</w:t>
      </w:r>
      <w:r>
        <w:rPr>
          <w:rFonts w:hint="eastAsia" w:ascii="Times New Roman" w:hAnsi="Times New Roman" w:cs="Times New Roman"/>
          <w:bCs/>
          <w:color w:val="000000" w:themeColor="text1"/>
          <w:sz w:val="24"/>
          <w:szCs w:val="28"/>
          <w:highlight w:val="none"/>
          <w14:textFill>
            <w14:solidFill>
              <w14:schemeClr w14:val="tx1"/>
            </w14:solidFill>
          </w14:textFill>
        </w:rPr>
        <w:t>.</w:t>
      </w:r>
      <w:r>
        <w:rPr>
          <w:rFonts w:ascii="宋体" w:hAnsi="宋体"/>
          <w:bCs/>
          <w:color w:val="000000" w:themeColor="text1"/>
          <w:sz w:val="24"/>
          <w:szCs w:val="28"/>
          <w:highlight w:val="none"/>
          <w14:textFill>
            <w14:solidFill>
              <w14:schemeClr w14:val="tx1"/>
            </w14:solidFill>
          </w14:textFill>
        </w:rPr>
        <w:t>税务师事务所、会计师事务所、律师事务所从事专业税务顾问、税收策划、涉税鉴证、纳税情况审查业务的完成时间，以税务师、注册会计师、律师在相关文书上签字的时间为准。</w:t>
      </w:r>
    </w:p>
    <w:p>
      <w:pPr>
        <w:wordWrap w:val="0"/>
        <w:spacing w:line="360" w:lineRule="auto"/>
        <w:ind w:firstLine="420"/>
        <w:rPr>
          <w:rFonts w:ascii="宋体" w:hAnsi="宋体"/>
          <w:color w:val="000000" w:themeColor="text1"/>
          <w:highlight w:val="none"/>
          <w14:textFill>
            <w14:solidFill>
              <w14:schemeClr w14:val="tx1"/>
            </w14:solidFill>
          </w14:textFill>
        </w:rPr>
      </w:pPr>
    </w:p>
    <w:p>
      <w:pPr>
        <w:spacing w:line="360" w:lineRule="auto"/>
        <w:rPr>
          <w:highlight w:val="none"/>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Light">
    <w:altName w:val="宋体"/>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A00002EF" w:usb1="4000004B" w:usb2="00000000" w:usb3="00000000" w:csb0="2000009F" w:csb1="00000000"/>
  </w:font>
  <w:font w:name="Microsoft Himalaya">
    <w:panose1 w:val="01010100010101010101"/>
    <w:charset w:val="00"/>
    <w:family w:val="auto"/>
    <w:pitch w:val="default"/>
    <w:sig w:usb0="80000003" w:usb1="00010000" w:usb2="0000004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37E2"/>
    <w:rsid w:val="000C7555"/>
    <w:rsid w:val="000D4FB5"/>
    <w:rsid w:val="001150E4"/>
    <w:rsid w:val="00117F92"/>
    <w:rsid w:val="00130946"/>
    <w:rsid w:val="001320CE"/>
    <w:rsid w:val="001416C1"/>
    <w:rsid w:val="00147FD6"/>
    <w:rsid w:val="00172A27"/>
    <w:rsid w:val="001C27F2"/>
    <w:rsid w:val="00236A32"/>
    <w:rsid w:val="00241AD3"/>
    <w:rsid w:val="00255A06"/>
    <w:rsid w:val="002934A5"/>
    <w:rsid w:val="00295E8C"/>
    <w:rsid w:val="00297018"/>
    <w:rsid w:val="002A4290"/>
    <w:rsid w:val="002D139A"/>
    <w:rsid w:val="002E2735"/>
    <w:rsid w:val="00306C23"/>
    <w:rsid w:val="0036215E"/>
    <w:rsid w:val="00362184"/>
    <w:rsid w:val="003778D6"/>
    <w:rsid w:val="003A68D8"/>
    <w:rsid w:val="003E21D8"/>
    <w:rsid w:val="003F472C"/>
    <w:rsid w:val="004279E6"/>
    <w:rsid w:val="00471769"/>
    <w:rsid w:val="004826AB"/>
    <w:rsid w:val="004A7259"/>
    <w:rsid w:val="004B48BA"/>
    <w:rsid w:val="004F2C51"/>
    <w:rsid w:val="00521FAA"/>
    <w:rsid w:val="00545341"/>
    <w:rsid w:val="00545669"/>
    <w:rsid w:val="00553F0A"/>
    <w:rsid w:val="005C356E"/>
    <w:rsid w:val="005C56A0"/>
    <w:rsid w:val="005C6B3B"/>
    <w:rsid w:val="00604971"/>
    <w:rsid w:val="00615515"/>
    <w:rsid w:val="00635BA6"/>
    <w:rsid w:val="00665084"/>
    <w:rsid w:val="006F6228"/>
    <w:rsid w:val="006F64E3"/>
    <w:rsid w:val="00711B7B"/>
    <w:rsid w:val="0074140C"/>
    <w:rsid w:val="007A6B2F"/>
    <w:rsid w:val="007F0513"/>
    <w:rsid w:val="00850673"/>
    <w:rsid w:val="00863499"/>
    <w:rsid w:val="00893F8A"/>
    <w:rsid w:val="008B0693"/>
    <w:rsid w:val="008D36A7"/>
    <w:rsid w:val="00903A7C"/>
    <w:rsid w:val="00960ADD"/>
    <w:rsid w:val="009646C1"/>
    <w:rsid w:val="009677BA"/>
    <w:rsid w:val="009A3851"/>
    <w:rsid w:val="00A725E3"/>
    <w:rsid w:val="00A73728"/>
    <w:rsid w:val="00A86DF0"/>
    <w:rsid w:val="00AF0DA1"/>
    <w:rsid w:val="00AF62F8"/>
    <w:rsid w:val="00B12C60"/>
    <w:rsid w:val="00B728E3"/>
    <w:rsid w:val="00B72FEA"/>
    <w:rsid w:val="00BA1FA6"/>
    <w:rsid w:val="00BB0C16"/>
    <w:rsid w:val="00BB49CC"/>
    <w:rsid w:val="00BB673F"/>
    <w:rsid w:val="00C13103"/>
    <w:rsid w:val="00C50F3B"/>
    <w:rsid w:val="00C714D1"/>
    <w:rsid w:val="00C72BED"/>
    <w:rsid w:val="00C770F2"/>
    <w:rsid w:val="00CA408F"/>
    <w:rsid w:val="00CD340E"/>
    <w:rsid w:val="00D5569F"/>
    <w:rsid w:val="00DA53C1"/>
    <w:rsid w:val="00DD6122"/>
    <w:rsid w:val="00DD7E07"/>
    <w:rsid w:val="00E01EE8"/>
    <w:rsid w:val="00E1109B"/>
    <w:rsid w:val="00E13F12"/>
    <w:rsid w:val="00E502DF"/>
    <w:rsid w:val="00F21D54"/>
    <w:rsid w:val="00F26A8E"/>
    <w:rsid w:val="00F46383"/>
    <w:rsid w:val="00F94CE0"/>
    <w:rsid w:val="00FE0EF9"/>
    <w:rsid w:val="00FE272C"/>
    <w:rsid w:val="00FE363E"/>
    <w:rsid w:val="03B777CD"/>
    <w:rsid w:val="09AC6751"/>
    <w:rsid w:val="0B8D3627"/>
    <w:rsid w:val="0C3151E3"/>
    <w:rsid w:val="0FC94579"/>
    <w:rsid w:val="10871339"/>
    <w:rsid w:val="13FF5162"/>
    <w:rsid w:val="141559A6"/>
    <w:rsid w:val="15EB6F5B"/>
    <w:rsid w:val="17CA7D74"/>
    <w:rsid w:val="17E97ECD"/>
    <w:rsid w:val="183B546E"/>
    <w:rsid w:val="21292F3D"/>
    <w:rsid w:val="255E2151"/>
    <w:rsid w:val="25EA50BA"/>
    <w:rsid w:val="29D0549B"/>
    <w:rsid w:val="2B5C4817"/>
    <w:rsid w:val="2BC6721D"/>
    <w:rsid w:val="2C751AB3"/>
    <w:rsid w:val="2C8431D5"/>
    <w:rsid w:val="2E1244E2"/>
    <w:rsid w:val="30FE6AB8"/>
    <w:rsid w:val="31DB6AD1"/>
    <w:rsid w:val="32FA52E9"/>
    <w:rsid w:val="34A51E4B"/>
    <w:rsid w:val="38F271FC"/>
    <w:rsid w:val="39F81F7B"/>
    <w:rsid w:val="3BE8418D"/>
    <w:rsid w:val="3C7C2BB6"/>
    <w:rsid w:val="3D2366F5"/>
    <w:rsid w:val="3FEB2BA2"/>
    <w:rsid w:val="448A7571"/>
    <w:rsid w:val="46353B4B"/>
    <w:rsid w:val="48E02358"/>
    <w:rsid w:val="4BA01256"/>
    <w:rsid w:val="4C944AFA"/>
    <w:rsid w:val="4EB2327E"/>
    <w:rsid w:val="4EB91FFF"/>
    <w:rsid w:val="504E2D23"/>
    <w:rsid w:val="513C2586"/>
    <w:rsid w:val="52696FFF"/>
    <w:rsid w:val="5539634F"/>
    <w:rsid w:val="555620B5"/>
    <w:rsid w:val="56545776"/>
    <w:rsid w:val="56D446AC"/>
    <w:rsid w:val="57264D6A"/>
    <w:rsid w:val="59CF61DC"/>
    <w:rsid w:val="5C35666B"/>
    <w:rsid w:val="5FD06C05"/>
    <w:rsid w:val="62280BCB"/>
    <w:rsid w:val="62900BB1"/>
    <w:rsid w:val="68923045"/>
    <w:rsid w:val="68E85FE1"/>
    <w:rsid w:val="6BC77FDC"/>
    <w:rsid w:val="6D4320D2"/>
    <w:rsid w:val="6E242EF2"/>
    <w:rsid w:val="6E425794"/>
    <w:rsid w:val="71B05B03"/>
    <w:rsid w:val="751920BB"/>
    <w:rsid w:val="76A3499A"/>
    <w:rsid w:val="78A272D6"/>
    <w:rsid w:val="7D146221"/>
    <w:rsid w:val="7E9D679E"/>
    <w:rsid w:val="7F1E6D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3"/>
    <w:qFormat/>
    <w:uiPriority w:val="9"/>
    <w:pPr>
      <w:keepNext/>
      <w:keepLines/>
      <w:spacing w:before="260" w:after="260" w:line="416" w:lineRule="auto"/>
      <w:outlineLvl w:val="1"/>
    </w:pPr>
    <w:rPr>
      <w:rFonts w:ascii="等线 Light" w:hAnsi="等线 Light" w:eastAsia="等线 Light" w:cs="Times New Roman"/>
      <w:b/>
      <w:bCs/>
      <w:sz w:val="32"/>
      <w:szCs w:val="32"/>
    </w:rPr>
  </w:style>
  <w:style w:type="paragraph" w:styleId="4">
    <w:name w:val="heading 3"/>
    <w:basedOn w:val="1"/>
    <w:next w:val="1"/>
    <w:link w:val="21"/>
    <w:qFormat/>
    <w:uiPriority w:val="0"/>
    <w:pPr>
      <w:keepNext/>
      <w:topLinePunct/>
      <w:adjustRightInd w:val="0"/>
      <w:snapToGrid w:val="0"/>
      <w:spacing w:beforeLines="125" w:afterLines="125"/>
      <w:ind w:firstLine="510"/>
      <w:outlineLvl w:val="2"/>
    </w:pPr>
    <w:rPr>
      <w:rFonts w:ascii="Times New Roman" w:hAnsi="Times New Roman" w:eastAsia="黑体" w:cs="Times New Roman"/>
      <w:b/>
      <w:bCs/>
      <w:kern w:val="24"/>
      <w:sz w:val="28"/>
      <w:szCs w:val="28"/>
    </w:rPr>
  </w:style>
  <w:style w:type="character" w:default="1" w:styleId="11">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33"/>
    <w:unhideWhenUsed/>
    <w:qFormat/>
    <w:uiPriority w:val="99"/>
    <w:rPr>
      <w:b/>
      <w:bCs/>
    </w:rPr>
  </w:style>
  <w:style w:type="paragraph" w:styleId="6">
    <w:name w:val="annotation text"/>
    <w:basedOn w:val="1"/>
    <w:link w:val="32"/>
    <w:qFormat/>
    <w:uiPriority w:val="0"/>
    <w:pPr>
      <w:jc w:val="left"/>
    </w:pPr>
  </w:style>
  <w:style w:type="paragraph" w:styleId="7">
    <w:name w:val="Document Map"/>
    <w:basedOn w:val="1"/>
    <w:link w:val="29"/>
    <w:unhideWhenUsed/>
    <w:qFormat/>
    <w:uiPriority w:val="99"/>
    <w:rPr>
      <w:rFonts w:ascii="宋体"/>
      <w:sz w:val="18"/>
      <w:szCs w:val="18"/>
    </w:rPr>
  </w:style>
  <w:style w:type="paragraph" w:styleId="8">
    <w:name w:val="Balloon Text"/>
    <w:basedOn w:val="1"/>
    <w:link w:val="26"/>
    <w:qFormat/>
    <w:uiPriority w:val="99"/>
    <w:rPr>
      <w:sz w:val="18"/>
      <w:szCs w:val="18"/>
    </w:rPr>
  </w:style>
  <w:style w:type="paragraph" w:styleId="9">
    <w:name w:val="footer"/>
    <w:basedOn w:val="1"/>
    <w:link w:val="28"/>
    <w:unhideWhenUsed/>
    <w:qFormat/>
    <w:uiPriority w:val="99"/>
    <w:pPr>
      <w:tabs>
        <w:tab w:val="center" w:pos="4153"/>
        <w:tab w:val="right" w:pos="8306"/>
      </w:tabs>
      <w:snapToGrid w:val="0"/>
      <w:jc w:val="left"/>
    </w:pPr>
    <w:rPr>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character" w:styleId="12">
    <w:name w:val="annotation reference"/>
    <w:basedOn w:val="11"/>
    <w:unhideWhenUsed/>
    <w:qFormat/>
    <w:uiPriority w:val="99"/>
    <w:rPr>
      <w:sz w:val="21"/>
      <w:szCs w:val="21"/>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5">
    <w:name w:val="事项名称"/>
    <w:basedOn w:val="1"/>
    <w:next w:val="1"/>
    <w:qFormat/>
    <w:uiPriority w:val="0"/>
    <w:pPr>
      <w:ind w:firstLine="562" w:firstLineChars="200"/>
    </w:pPr>
    <w:rPr>
      <w:rFonts w:hint="eastAsia" w:ascii="Times New Roman" w:hAnsi="Times New Roman" w:eastAsia="宋体"/>
      <w:b/>
      <w:bCs/>
      <w:kern w:val="2"/>
      <w:sz w:val="24"/>
      <w:szCs w:val="24"/>
    </w:rPr>
  </w:style>
  <w:style w:type="paragraph" w:customStyle="1" w:styleId="16">
    <w:name w:val="List Paragraph_6a3f6c9e-e186-45d0-a9f5-616e18c33b66"/>
    <w:basedOn w:val="1"/>
    <w:link w:val="22"/>
    <w:qFormat/>
    <w:uiPriority w:val="34"/>
    <w:pPr>
      <w:ind w:firstLine="420" w:firstLineChars="200"/>
    </w:pPr>
  </w:style>
  <w:style w:type="paragraph" w:customStyle="1" w:styleId="17">
    <w:name w:val="正文正文"/>
    <w:basedOn w:val="1"/>
    <w:link w:val="24"/>
    <w:qFormat/>
    <w:uiPriority w:val="0"/>
    <w:pPr>
      <w:adjustRightInd w:val="0"/>
      <w:snapToGrid w:val="0"/>
      <w:spacing w:line="360" w:lineRule="auto"/>
      <w:ind w:firstLine="480" w:firstLineChars="200"/>
    </w:pPr>
    <w:rPr>
      <w:rFonts w:ascii="宋体" w:hAnsi="宋体" w:cs="Times New Roman"/>
      <w:sz w:val="24"/>
      <w:szCs w:val="24"/>
    </w:rPr>
  </w:style>
  <w:style w:type="paragraph" w:customStyle="1" w:styleId="18">
    <w:name w:val="【事项描】"/>
    <w:basedOn w:val="1"/>
    <w:link w:val="25"/>
    <w:qFormat/>
    <w:uiPriority w:val="0"/>
    <w:pPr>
      <w:adjustRightInd w:val="0"/>
      <w:snapToGrid w:val="0"/>
      <w:spacing w:line="360" w:lineRule="auto"/>
      <w:ind w:firstLine="482" w:firstLineChars="200"/>
    </w:pPr>
    <w:rPr>
      <w:rFonts w:ascii="宋体" w:hAnsi="宋体" w:cs="Times New Roman"/>
      <w:b/>
      <w:sz w:val="24"/>
      <w:szCs w:val="24"/>
    </w:rPr>
  </w:style>
  <w:style w:type="character" w:customStyle="1" w:styleId="19">
    <w:name w:val="标题 1 Char"/>
    <w:basedOn w:val="11"/>
    <w:link w:val="2"/>
    <w:qFormat/>
    <w:uiPriority w:val="9"/>
    <w:rPr>
      <w:b/>
      <w:bCs/>
      <w:kern w:val="44"/>
      <w:sz w:val="44"/>
      <w:szCs w:val="44"/>
    </w:rPr>
  </w:style>
  <w:style w:type="character" w:customStyle="1" w:styleId="20">
    <w:name w:val="标题 2 Char"/>
    <w:basedOn w:val="11"/>
    <w:qFormat/>
    <w:uiPriority w:val="9"/>
    <w:rPr>
      <w:rFonts w:ascii="Cambria" w:hAnsi="Cambria" w:eastAsia="宋体" w:cs="黑体"/>
      <w:b/>
      <w:bCs/>
      <w:sz w:val="32"/>
      <w:szCs w:val="32"/>
    </w:rPr>
  </w:style>
  <w:style w:type="character" w:customStyle="1" w:styleId="21">
    <w:name w:val="标题 3 Char"/>
    <w:basedOn w:val="11"/>
    <w:link w:val="4"/>
    <w:qFormat/>
    <w:uiPriority w:val="9"/>
    <w:rPr>
      <w:rFonts w:ascii="Times New Roman" w:hAnsi="Times New Roman" w:eastAsia="黑体" w:cs="Times New Roman"/>
      <w:b/>
      <w:bCs/>
      <w:kern w:val="24"/>
      <w:sz w:val="28"/>
      <w:szCs w:val="28"/>
    </w:rPr>
  </w:style>
  <w:style w:type="character" w:customStyle="1" w:styleId="22">
    <w:name w:val="列出段落 Char"/>
    <w:basedOn w:val="11"/>
    <w:link w:val="16"/>
    <w:qFormat/>
    <w:uiPriority w:val="34"/>
  </w:style>
  <w:style w:type="character" w:customStyle="1" w:styleId="23">
    <w:name w:val="标题 2 Char1"/>
    <w:link w:val="3"/>
    <w:qFormat/>
    <w:uiPriority w:val="9"/>
    <w:rPr>
      <w:rFonts w:ascii="等线 Light" w:hAnsi="等线 Light" w:eastAsia="等线 Light" w:cs="Times New Roman"/>
      <w:b/>
      <w:bCs/>
      <w:sz w:val="32"/>
      <w:szCs w:val="32"/>
    </w:rPr>
  </w:style>
  <w:style w:type="character" w:customStyle="1" w:styleId="24">
    <w:name w:val="正文正文 字符"/>
    <w:link w:val="17"/>
    <w:qFormat/>
    <w:uiPriority w:val="0"/>
    <w:rPr>
      <w:rFonts w:ascii="宋体" w:hAnsi="宋体" w:eastAsia="宋体" w:cs="Times New Roman"/>
      <w:sz w:val="24"/>
      <w:szCs w:val="24"/>
    </w:rPr>
  </w:style>
  <w:style w:type="character" w:customStyle="1" w:styleId="25">
    <w:name w:val="【事项描】 字符"/>
    <w:link w:val="18"/>
    <w:qFormat/>
    <w:uiPriority w:val="0"/>
    <w:rPr>
      <w:rFonts w:ascii="宋体" w:hAnsi="宋体" w:eastAsia="宋体" w:cs="Times New Roman"/>
      <w:b/>
      <w:sz w:val="24"/>
      <w:szCs w:val="24"/>
    </w:rPr>
  </w:style>
  <w:style w:type="character" w:customStyle="1" w:styleId="26">
    <w:name w:val="批注框文本 Char"/>
    <w:basedOn w:val="11"/>
    <w:link w:val="8"/>
    <w:qFormat/>
    <w:uiPriority w:val="99"/>
    <w:rPr>
      <w:sz w:val="18"/>
      <w:szCs w:val="18"/>
    </w:rPr>
  </w:style>
  <w:style w:type="character" w:customStyle="1" w:styleId="27">
    <w:name w:val="页眉 Char"/>
    <w:basedOn w:val="11"/>
    <w:link w:val="10"/>
    <w:qFormat/>
    <w:uiPriority w:val="99"/>
    <w:rPr>
      <w:rFonts w:ascii="Calibri" w:hAnsi="Calibri" w:cs="黑体"/>
      <w:kern w:val="2"/>
      <w:sz w:val="18"/>
      <w:szCs w:val="18"/>
    </w:rPr>
  </w:style>
  <w:style w:type="character" w:customStyle="1" w:styleId="28">
    <w:name w:val="页脚 Char"/>
    <w:basedOn w:val="11"/>
    <w:link w:val="9"/>
    <w:qFormat/>
    <w:uiPriority w:val="99"/>
    <w:rPr>
      <w:rFonts w:ascii="Calibri" w:hAnsi="Calibri" w:cs="黑体"/>
      <w:kern w:val="2"/>
      <w:sz w:val="18"/>
      <w:szCs w:val="18"/>
    </w:rPr>
  </w:style>
  <w:style w:type="character" w:customStyle="1" w:styleId="29">
    <w:name w:val="文档结构图 Char"/>
    <w:basedOn w:val="11"/>
    <w:link w:val="7"/>
    <w:semiHidden/>
    <w:qFormat/>
    <w:uiPriority w:val="99"/>
    <w:rPr>
      <w:rFonts w:ascii="宋体" w:hAnsi="Calibri" w:cs="黑体"/>
      <w:kern w:val="2"/>
      <w:sz w:val="18"/>
      <w:szCs w:val="18"/>
    </w:rPr>
  </w:style>
  <w:style w:type="paragraph" w:customStyle="1" w:styleId="30">
    <w:name w:val="4.1 XX优惠"/>
    <w:basedOn w:val="3"/>
    <w:link w:val="31"/>
    <w:qFormat/>
    <w:uiPriority w:val="0"/>
    <w:pPr>
      <w:topLinePunct/>
      <w:adjustRightInd w:val="0"/>
      <w:spacing w:before="660" w:line="240" w:lineRule="auto"/>
      <w:ind w:firstLine="510"/>
    </w:pPr>
    <w:rPr>
      <w:rFonts w:ascii="Arial" w:hAnsi="Arial" w:eastAsia="黑体"/>
      <w:kern w:val="24"/>
    </w:rPr>
  </w:style>
  <w:style w:type="character" w:customStyle="1" w:styleId="31">
    <w:name w:val="4.1 XX优惠 字符"/>
    <w:link w:val="30"/>
    <w:qFormat/>
    <w:uiPriority w:val="0"/>
    <w:rPr>
      <w:rFonts w:ascii="Arial" w:hAnsi="Arial" w:eastAsia="黑体"/>
      <w:b/>
      <w:bCs/>
      <w:kern w:val="24"/>
      <w:sz w:val="32"/>
      <w:szCs w:val="32"/>
    </w:rPr>
  </w:style>
  <w:style w:type="character" w:customStyle="1" w:styleId="32">
    <w:name w:val="批注文字 Char"/>
    <w:basedOn w:val="11"/>
    <w:link w:val="6"/>
    <w:qFormat/>
    <w:uiPriority w:val="0"/>
    <w:rPr>
      <w:rFonts w:ascii="Calibri" w:hAnsi="Calibri" w:cs="黑体"/>
      <w:kern w:val="2"/>
      <w:sz w:val="21"/>
      <w:szCs w:val="22"/>
    </w:rPr>
  </w:style>
  <w:style w:type="character" w:customStyle="1" w:styleId="33">
    <w:name w:val="批注主题 Char"/>
    <w:basedOn w:val="32"/>
    <w:link w:val="5"/>
    <w:semiHidden/>
    <w:qFormat/>
    <w:uiPriority w:val="99"/>
    <w:rPr>
      <w:rFonts w:ascii="Calibri" w:hAnsi="Calibri" w:cs="黑体"/>
      <w:b/>
      <w:bCs/>
      <w:kern w:val="2"/>
      <w:sz w:val="21"/>
      <w:szCs w:val="22"/>
    </w:rPr>
  </w:style>
  <w:style w:type="paragraph" w:customStyle="1" w:styleId="34">
    <w:name w:val="3 sunshine"/>
    <w:basedOn w:val="4"/>
    <w:link w:val="35"/>
    <w:qFormat/>
    <w:uiPriority w:val="0"/>
    <w:pPr>
      <w:spacing w:beforeLines="100" w:afterLines="100" w:line="360" w:lineRule="auto"/>
      <w:ind w:firstLine="562" w:firstLineChars="200"/>
    </w:pPr>
  </w:style>
  <w:style w:type="character" w:customStyle="1" w:styleId="35">
    <w:name w:val="3 sunshine 字符"/>
    <w:basedOn w:val="21"/>
    <w:link w:val="34"/>
    <w:qFormat/>
    <w:uiPriority w:val="0"/>
    <w:rPr>
      <w:rFonts w:ascii="Times New Roman" w:hAnsi="Times New Roman" w:eastAsia="黑体" w:cs="Times New Roman"/>
      <w:kern w:val="24"/>
      <w:sz w:val="28"/>
      <w:szCs w:val="28"/>
    </w:rPr>
  </w:style>
  <w:style w:type="paragraph" w:customStyle="1" w:styleId="36">
    <w:name w:val="二级标题"/>
    <w:basedOn w:val="3"/>
    <w:link w:val="37"/>
    <w:qFormat/>
    <w:uiPriority w:val="0"/>
    <w:pPr>
      <w:spacing w:beforeLines="150" w:afterLines="150" w:line="360" w:lineRule="auto"/>
      <w:ind w:firstLine="643" w:firstLineChars="200"/>
    </w:pPr>
    <w:rPr>
      <w:rFonts w:ascii="Times New Roman" w:hAnsi="Times New Roman" w:eastAsia="黑体"/>
    </w:rPr>
  </w:style>
  <w:style w:type="character" w:customStyle="1" w:styleId="37">
    <w:name w:val="二级标题 字符"/>
    <w:basedOn w:val="11"/>
    <w:link w:val="36"/>
    <w:qFormat/>
    <w:uiPriority w:val="0"/>
    <w:rPr>
      <w:rFonts w:eastAsia="黑体"/>
      <w:b/>
      <w:bCs/>
      <w:kern w:val="2"/>
      <w:sz w:val="32"/>
      <w:szCs w:val="32"/>
    </w:rPr>
  </w:style>
  <w:style w:type="paragraph" w:customStyle="1" w:styleId="38">
    <w:name w:val="材料 文本"/>
    <w:basedOn w:val="1"/>
    <w:unhideWhenUsed/>
    <w:qFormat/>
    <w:uiPriority w:val="0"/>
    <w:pPr>
      <w:jc w:val="center"/>
    </w:pPr>
    <w:rPr>
      <w:rFonts w:hint="eastAsia" w:ascii="黑体" w:hAnsi="黑体" w:eastAsia="黑体"/>
      <w:sz w:val="18"/>
    </w:rPr>
  </w:style>
  <w:style w:type="paragraph" w:customStyle="1" w:styleId="39">
    <w:name w:val="政策 表头"/>
    <w:basedOn w:val="1"/>
    <w:unhideWhenUsed/>
    <w:qFormat/>
    <w:uiPriority w:val="0"/>
    <w:pPr>
      <w:jc w:val="center"/>
    </w:pPr>
    <w:rPr>
      <w:rFonts w:hint="eastAsia" w:ascii="黑体" w:hAnsi="黑体" w:eastAsia="黑体"/>
      <w:lang w:val="zh-CN"/>
    </w:rPr>
  </w:style>
  <w:style w:type="paragraph" w:customStyle="1" w:styleId="40">
    <w:name w:val="材料 表头"/>
    <w:basedOn w:val="39"/>
    <w:unhideWhenUsed/>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45F773AF-8E55-41D2-AB15-A5F6E470F41D}">
  <ds:schemaRefs/>
</ds:datastoreItem>
</file>

<file path=customXml/itemProps11.xml><?xml version="1.0" encoding="utf-8"?>
<ds:datastoreItem xmlns:ds="http://schemas.openxmlformats.org/officeDocument/2006/customXml" ds:itemID="{8661BCD8-A3AF-4D8E-B7F3-65088B7E1692}">
  <ds:schemaRefs/>
</ds:datastoreItem>
</file>

<file path=customXml/itemProps12.xml><?xml version="1.0" encoding="utf-8"?>
<ds:datastoreItem xmlns:ds="http://schemas.openxmlformats.org/officeDocument/2006/customXml" ds:itemID="{31A61BFE-4276-4DB6-A48C-90B0759A899B}">
  <ds:schemaRefs/>
</ds:datastoreItem>
</file>

<file path=customXml/itemProps13.xml><?xml version="1.0" encoding="utf-8"?>
<ds:datastoreItem xmlns:ds="http://schemas.openxmlformats.org/officeDocument/2006/customXml" ds:itemID="{3F48351E-1405-4837-BCA8-785D39A4078C}">
  <ds:schemaRefs/>
</ds:datastoreItem>
</file>

<file path=customXml/itemProps14.xml><?xml version="1.0" encoding="utf-8"?>
<ds:datastoreItem xmlns:ds="http://schemas.openxmlformats.org/officeDocument/2006/customXml" ds:itemID="{C9C6B115-338A-4A50-A2C0-09C266BEBB1E}">
  <ds:schemaRefs/>
</ds:datastoreItem>
</file>

<file path=customXml/itemProps15.xml><?xml version="1.0" encoding="utf-8"?>
<ds:datastoreItem xmlns:ds="http://schemas.openxmlformats.org/officeDocument/2006/customXml" ds:itemID="{3EC3C910-4718-4FDA-B46A-14F7705CFB68}">
  <ds:schemaRefs/>
</ds:datastoreItem>
</file>

<file path=customXml/itemProps16.xml><?xml version="1.0" encoding="utf-8"?>
<ds:datastoreItem xmlns:ds="http://schemas.openxmlformats.org/officeDocument/2006/customXml" ds:itemID="{A1CC8CEF-4773-44A0-A635-3EECC8F56DD8}">
  <ds:schemaRefs/>
</ds:datastoreItem>
</file>

<file path=customXml/itemProps17.xml><?xml version="1.0" encoding="utf-8"?>
<ds:datastoreItem xmlns:ds="http://schemas.openxmlformats.org/officeDocument/2006/customXml" ds:itemID="{7C6B0C9F-D5AA-406E-A600-9FE071528983}">
  <ds:schemaRefs/>
</ds:datastoreItem>
</file>

<file path=customXml/itemProps18.xml><?xml version="1.0" encoding="utf-8"?>
<ds:datastoreItem xmlns:ds="http://schemas.openxmlformats.org/officeDocument/2006/customXml" ds:itemID="{100B074F-2E13-4485-97AE-FA5398323D3B}">
  <ds:schemaRefs/>
</ds:datastoreItem>
</file>

<file path=customXml/itemProps2.xml><?xml version="1.0" encoding="utf-8"?>
<ds:datastoreItem xmlns:ds="http://schemas.openxmlformats.org/officeDocument/2006/customXml" ds:itemID="{39B8AD67-966F-4FAD-BA71-4C91FFF05611}">
  <ds:schemaRefs/>
</ds:datastoreItem>
</file>

<file path=customXml/itemProps3.xml><?xml version="1.0" encoding="utf-8"?>
<ds:datastoreItem xmlns:ds="http://schemas.openxmlformats.org/officeDocument/2006/customXml" ds:itemID="{FB417205-3580-478B-8CF7-FA73F9FEBF2B}">
  <ds:schemaRefs/>
</ds:datastoreItem>
</file>

<file path=customXml/itemProps4.xml><?xml version="1.0" encoding="utf-8"?>
<ds:datastoreItem xmlns:ds="http://schemas.openxmlformats.org/officeDocument/2006/customXml" ds:itemID="{953FA17A-C4CA-4E4C-B0D6-A37AF5100E22}">
  <ds:schemaRefs/>
</ds:datastoreItem>
</file>

<file path=customXml/itemProps5.xml><?xml version="1.0" encoding="utf-8"?>
<ds:datastoreItem xmlns:ds="http://schemas.openxmlformats.org/officeDocument/2006/customXml" ds:itemID="{3ED924F2-DF98-4DDD-87A9-968DE9527C76}">
  <ds:schemaRefs/>
</ds:datastoreItem>
</file>

<file path=customXml/itemProps6.xml><?xml version="1.0" encoding="utf-8"?>
<ds:datastoreItem xmlns:ds="http://schemas.openxmlformats.org/officeDocument/2006/customXml" ds:itemID="{0F2FE265-5A5F-498C-8D2E-F2C029101089}">
  <ds:schemaRefs/>
</ds:datastoreItem>
</file>

<file path=customXml/itemProps7.xml><?xml version="1.0" encoding="utf-8"?>
<ds:datastoreItem xmlns:ds="http://schemas.openxmlformats.org/officeDocument/2006/customXml" ds:itemID="{110F66D6-57CE-4D98-914E-1E2C087E6543}">
  <ds:schemaRefs/>
</ds:datastoreItem>
</file>

<file path=customXml/itemProps8.xml><?xml version="1.0" encoding="utf-8"?>
<ds:datastoreItem xmlns:ds="http://schemas.openxmlformats.org/officeDocument/2006/customXml" ds:itemID="{C81AC05A-D6E8-4A4E-90EB-AED451C9437E}">
  <ds:schemaRefs/>
</ds:datastoreItem>
</file>

<file path=customXml/itemProps9.xml><?xml version="1.0" encoding="utf-8"?>
<ds:datastoreItem xmlns:ds="http://schemas.openxmlformats.org/officeDocument/2006/customXml" ds:itemID="{656D4C19-F27C-4C77-96B9-FE1D7388BCBE}">
  <ds:schemaRefs/>
</ds:datastoreItem>
</file>

<file path=docProps/app.xml><?xml version="1.0" encoding="utf-8"?>
<Properties xmlns="http://schemas.openxmlformats.org/officeDocument/2006/extended-properties" xmlns:vt="http://schemas.openxmlformats.org/officeDocument/2006/docPropsVTypes">
  <Template>Normal</Template>
  <Pages>16</Pages>
  <Words>1054</Words>
  <Characters>6009</Characters>
  <Lines>50</Lines>
  <Paragraphs>14</Paragraphs>
  <TotalTime>1</TotalTime>
  <ScaleCrop>false</ScaleCrop>
  <LinksUpToDate>false</LinksUpToDate>
  <CharactersWithSpaces>7049</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2019-07-03T01:32:00Z</dcterms:created>
  <dc:creator>ycpic</dc:creator>
  <cp:lastModifiedBy> </cp:lastModifiedBy>
  <cp:lastPrinted>2019-08-05T15:14:00Z</cp:lastPrinted>
  <dcterms:modified xsi:type="dcterms:W3CDTF">2020-01-10T09:46:39Z</dcterms:modified>
  <dc:title>第14章 涉税专业服务规范</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