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40" w:lineRule="exact"/>
        <w:jc w:val="center"/>
        <w:rPr>
          <w:rFonts w:ascii="方正小标宋简体" w:eastAsia="方正小标宋简体"/>
          <w:sz w:val="44"/>
          <w:szCs w:val="44"/>
        </w:rPr>
      </w:pPr>
      <w:r>
        <w:rPr>
          <w:rFonts w:hint="eastAsia" w:ascii="方正小标宋简体" w:eastAsia="方正小标宋简体"/>
          <w:sz w:val="44"/>
          <w:szCs w:val="44"/>
        </w:rPr>
        <w:t>昆明呈贡信息产业园区管理委员会</w:t>
      </w:r>
    </w:p>
    <w:p>
      <w:pPr>
        <w:spacing w:line="640" w:lineRule="exact"/>
        <w:jc w:val="center"/>
        <w:rPr>
          <w:rFonts w:ascii="方正小标宋简体" w:eastAsia="方正小标宋简体"/>
          <w:sz w:val="44"/>
          <w:szCs w:val="44"/>
        </w:rPr>
      </w:pPr>
      <w:r>
        <w:rPr>
          <w:rFonts w:hint="eastAsia" w:ascii="方正小标宋简体" w:eastAsia="方正小标宋简体"/>
          <w:sz w:val="44"/>
          <w:szCs w:val="44"/>
        </w:rPr>
        <w:t>关于购买昆明市呈贡区“十四五”数字经济及信息产业发展规划编制服务的公示</w:t>
      </w:r>
    </w:p>
    <w:p>
      <w:pPr>
        <w:spacing w:line="560" w:lineRule="exact"/>
        <w:ind w:firstLine="640" w:firstLineChars="200"/>
        <w:rPr>
          <w:rFonts w:ascii="仿宋_GB2312" w:hAnsi="仿宋_GB2312" w:eastAsia="仿宋_GB2312" w:cs="仿宋_GB2312"/>
          <w:sz w:val="32"/>
          <w:szCs w:val="32"/>
        </w:rPr>
      </w:pP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按照2019年昆明呈贡信息产业园区管理委员会第15次主任办公会会议精神和呈贡区人民政府采购计划及采购方式有关要求，昆明呈贡信息产业园区管理委员会通过询价方式对3家具备资质的单位开展昆明市呈贡区“十四五”数字经济及信息产业发展规划编制服务实施单位比选工作，经询价小组对3家单位进行审核、比选，确定了北京市长城企业战略研究所作为昆明市呈贡区“十四五”数字经济及信息产业发展规划编制服务实施单位。现将相关情况公示如下：</w:t>
      </w:r>
    </w:p>
    <w:p>
      <w:pPr>
        <w:spacing w:line="560" w:lineRule="exact"/>
        <w:ind w:firstLine="640" w:firstLineChars="200"/>
        <w:rPr>
          <w:rFonts w:ascii="黑体" w:hAnsi="黑体" w:eastAsia="黑体" w:cs="仿宋_GB2312"/>
          <w:sz w:val="32"/>
          <w:szCs w:val="32"/>
        </w:rPr>
      </w:pPr>
      <w:r>
        <w:rPr>
          <w:rFonts w:hint="eastAsia" w:ascii="黑体" w:hAnsi="黑体" w:eastAsia="黑体" w:cs="仿宋_GB2312"/>
          <w:sz w:val="32"/>
          <w:szCs w:val="32"/>
        </w:rPr>
        <w:t>一、服务内容及完成时限</w:t>
      </w:r>
    </w:p>
    <w:p>
      <w:pPr>
        <w:spacing w:line="560" w:lineRule="exact"/>
        <w:ind w:firstLine="640" w:firstLineChars="200"/>
        <w:rPr>
          <w:rFonts w:ascii="楷体_GB2312" w:hAnsi="仿宋_GB2312" w:eastAsia="楷体_GB2312" w:cs="仿宋_GB2312"/>
          <w:sz w:val="32"/>
          <w:szCs w:val="32"/>
        </w:rPr>
      </w:pPr>
      <w:r>
        <w:rPr>
          <w:rFonts w:hint="eastAsia" w:ascii="楷体_GB2312" w:hAnsi="仿宋_GB2312" w:eastAsia="楷体_GB2312" w:cs="仿宋_GB2312"/>
          <w:sz w:val="32"/>
          <w:szCs w:val="32"/>
        </w:rPr>
        <w:t>（一）服务内容:</w:t>
      </w:r>
    </w:p>
    <w:p>
      <w:pPr>
        <w:adjustRightInd w:val="0"/>
        <w:snapToGrid w:val="0"/>
        <w:spacing w:beforeLines="50"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甲方（明呈贡信息产业园区管理委员会）委托乙方（北京市长城企业战略研究所）开展《昆明市呈贡区“十四五”数字经济及信息产业发展规划》的研究编写，形成《昆明市呈贡区“十四五”数字经济及信息产业发展规划》文本成果20套、电子版文件（WORD）1份、汇报演示文件（PPT）1份。主要内容包括：</w:t>
      </w:r>
    </w:p>
    <w:p>
      <w:pPr>
        <w:adjustRightInd w:val="0"/>
        <w:snapToGrid w:val="0"/>
        <w:spacing w:beforeLines="50"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bCs/>
          <w:sz w:val="32"/>
          <w:szCs w:val="32"/>
        </w:rPr>
        <w:t>一是形势趋势。</w:t>
      </w:r>
      <w:r>
        <w:rPr>
          <w:rFonts w:hint="eastAsia" w:ascii="仿宋_GB2312" w:hAnsi="仿宋_GB2312" w:eastAsia="仿宋_GB2312" w:cs="仿宋_GB2312"/>
          <w:sz w:val="32"/>
          <w:szCs w:val="32"/>
        </w:rPr>
        <w:t>从国际、国内、区域、产业等层面，分析呈贡区发展数字经济及信息产业面临的新形势和新趋势。</w:t>
      </w:r>
    </w:p>
    <w:p>
      <w:pPr>
        <w:adjustRightInd w:val="0"/>
        <w:snapToGrid w:val="0"/>
        <w:spacing w:beforeLines="50"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bCs/>
          <w:sz w:val="32"/>
          <w:szCs w:val="32"/>
        </w:rPr>
        <w:t>二是现状诊断。</w:t>
      </w:r>
      <w:r>
        <w:rPr>
          <w:rFonts w:hint="eastAsia" w:ascii="仿宋_GB2312" w:hAnsi="仿宋_GB2312" w:eastAsia="仿宋_GB2312" w:cs="仿宋_GB2312"/>
          <w:sz w:val="32"/>
          <w:szCs w:val="32"/>
        </w:rPr>
        <w:t>结合调研，从产业规模、产业领域、企业梯队、创新资源、政策环境等方面，分析呈贡区数字经济及信息产业发展的基础优势和问题瓶颈。</w:t>
      </w:r>
    </w:p>
    <w:p>
      <w:pPr>
        <w:adjustRightInd w:val="0"/>
        <w:snapToGrid w:val="0"/>
        <w:spacing w:beforeLines="50"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bCs/>
          <w:sz w:val="32"/>
          <w:szCs w:val="32"/>
        </w:rPr>
        <w:t>三是思路目标。</w:t>
      </w:r>
      <w:r>
        <w:rPr>
          <w:rFonts w:hint="eastAsia" w:ascii="仿宋_GB2312" w:hAnsi="仿宋_GB2312" w:eastAsia="仿宋_GB2312" w:cs="仿宋_GB2312"/>
          <w:sz w:val="32"/>
          <w:szCs w:val="32"/>
        </w:rPr>
        <w:t>研究提出“十四五”时期呈贡区数字经济及信息产业发展的总体思路、愿景及目标。</w:t>
      </w:r>
    </w:p>
    <w:p>
      <w:pPr>
        <w:adjustRightInd w:val="0"/>
        <w:snapToGrid w:val="0"/>
        <w:spacing w:beforeLines="50"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bCs/>
          <w:sz w:val="32"/>
          <w:szCs w:val="32"/>
        </w:rPr>
        <w:t>四是产业定位。</w:t>
      </w:r>
      <w:r>
        <w:rPr>
          <w:rFonts w:hint="eastAsia" w:ascii="仿宋_GB2312" w:hAnsi="仿宋_GB2312" w:eastAsia="仿宋_GB2312" w:cs="仿宋_GB2312"/>
          <w:sz w:val="32"/>
          <w:szCs w:val="32"/>
        </w:rPr>
        <w:t>结合数字经济及信息产业发展趋势及热点，立足本地基础及需求，提出呈贡区数字经济及信息产业在“十四五”时期的重点发展领域。</w:t>
      </w:r>
    </w:p>
    <w:p>
      <w:pPr>
        <w:adjustRightInd w:val="0"/>
        <w:snapToGrid w:val="0"/>
        <w:spacing w:beforeLines="50"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bCs/>
          <w:sz w:val="32"/>
          <w:szCs w:val="32"/>
        </w:rPr>
        <w:t>五是区域布局。</w:t>
      </w:r>
      <w:r>
        <w:rPr>
          <w:rFonts w:hint="eastAsia" w:ascii="仿宋_GB2312" w:hAnsi="仿宋_GB2312" w:eastAsia="仿宋_GB2312" w:cs="仿宋_GB2312"/>
          <w:sz w:val="32"/>
          <w:szCs w:val="32"/>
        </w:rPr>
        <w:t>结合现有空间基础，从空间结构、功能配套等层面科学布局数字经济及信息产业发展空间。</w:t>
      </w:r>
    </w:p>
    <w:p>
      <w:pPr>
        <w:adjustRightInd w:val="0"/>
        <w:snapToGrid w:val="0"/>
        <w:spacing w:beforeLines="50"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bCs/>
          <w:sz w:val="32"/>
          <w:szCs w:val="32"/>
        </w:rPr>
        <w:t>六是产业策略。</w:t>
      </w:r>
      <w:r>
        <w:rPr>
          <w:rFonts w:hint="eastAsia" w:ascii="仿宋_GB2312" w:hAnsi="仿宋_GB2312" w:eastAsia="仿宋_GB2312" w:cs="仿宋_GB2312"/>
          <w:sz w:val="32"/>
          <w:szCs w:val="32"/>
        </w:rPr>
        <w:t>从技术创新、企业培育、服务支撑、开放合作等维度入手，研究提出促进产业发展的路径及组织方式。</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bCs/>
          <w:sz w:val="32"/>
          <w:szCs w:val="32"/>
        </w:rPr>
        <w:t>七是保障措施。</w:t>
      </w:r>
      <w:r>
        <w:rPr>
          <w:rFonts w:hint="eastAsia" w:ascii="仿宋_GB2312" w:hAnsi="仿宋_GB2312" w:eastAsia="仿宋_GB2312" w:cs="仿宋_GB2312"/>
          <w:sz w:val="32"/>
          <w:szCs w:val="32"/>
        </w:rPr>
        <w:t>提出相应的保障措施。</w:t>
      </w:r>
    </w:p>
    <w:p>
      <w:pPr>
        <w:spacing w:line="560" w:lineRule="exact"/>
        <w:ind w:firstLine="640" w:firstLineChars="200"/>
        <w:rPr>
          <w:rFonts w:ascii="楷体_GB2312" w:hAnsi="仿宋_GB2312" w:eastAsia="楷体_GB2312" w:cs="仿宋_GB2312"/>
          <w:sz w:val="32"/>
          <w:szCs w:val="32"/>
        </w:rPr>
      </w:pPr>
      <w:r>
        <w:rPr>
          <w:rFonts w:hint="eastAsia" w:ascii="楷体_GB2312" w:hAnsi="仿宋_GB2312" w:eastAsia="楷体_GB2312" w:cs="仿宋_GB2312"/>
          <w:sz w:val="32"/>
          <w:szCs w:val="32"/>
        </w:rPr>
        <w:t>（二）服务期限:</w:t>
      </w:r>
    </w:p>
    <w:p>
      <w:pPr>
        <w:adjustRightInd w:val="0"/>
        <w:snapToGrid w:val="0"/>
        <w:spacing w:beforeLines="50"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本项目期限为2019年12月23日 至 2020年5月31日，分为三个阶段：</w:t>
      </w:r>
    </w:p>
    <w:p>
      <w:pPr>
        <w:adjustRightInd w:val="0"/>
        <w:snapToGrid w:val="0"/>
        <w:spacing w:beforeLines="50"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第一阶段：2019年12月23日-2020年1月31日</w:t>
      </w:r>
    </w:p>
    <w:p>
      <w:pPr>
        <w:adjustRightInd w:val="0"/>
        <w:snapToGrid w:val="0"/>
        <w:spacing w:beforeLines="50"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bCs/>
          <w:sz w:val="32"/>
          <w:szCs w:val="32"/>
        </w:rPr>
        <w:t>主要工作：</w:t>
      </w:r>
      <w:r>
        <w:rPr>
          <w:rFonts w:hint="eastAsia" w:ascii="仿宋_GB2312" w:hAnsi="仿宋_GB2312" w:eastAsia="仿宋_GB2312" w:cs="仿宋_GB2312"/>
          <w:sz w:val="32"/>
          <w:szCs w:val="32"/>
        </w:rPr>
        <w:t>开展预研究及现场调研，收集梳理产业相关资料，对呈贡区相关政府部门、代表企业、科技服务机构等进行访谈，形成调研提纲、调研记录、《昆明市呈贡区“十四五”数字经济及信息产业发展规划》（WORD）框架稿。</w:t>
      </w:r>
    </w:p>
    <w:p>
      <w:pPr>
        <w:adjustRightInd w:val="0"/>
        <w:snapToGrid w:val="0"/>
        <w:spacing w:beforeLines="50"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第二阶段：2020年2月1日-2020年3月31日</w:t>
      </w:r>
    </w:p>
    <w:p>
      <w:pPr>
        <w:adjustRightInd w:val="0"/>
        <w:snapToGrid w:val="0"/>
        <w:spacing w:beforeLines="50"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bCs/>
          <w:sz w:val="32"/>
          <w:szCs w:val="32"/>
        </w:rPr>
        <w:t>主要工作：</w:t>
      </w:r>
      <w:r>
        <w:rPr>
          <w:rFonts w:hint="eastAsia" w:ascii="仿宋_GB2312" w:hAnsi="仿宋_GB2312" w:eastAsia="仿宋_GB2312" w:cs="仿宋_GB2312"/>
          <w:sz w:val="32"/>
          <w:szCs w:val="32"/>
        </w:rPr>
        <w:t>根据第一阶段研究成果，撰写产业发展规划，进一步明确思路目标、重点领域、任务举措、保障措施等内容，形成《昆明市呈贡区“十四五”数字经济及信息产业发展规划》（WORD）初稿，向甲方进行第一次成果汇报。</w:t>
      </w:r>
    </w:p>
    <w:p>
      <w:pPr>
        <w:adjustRightInd w:val="0"/>
        <w:snapToGrid w:val="0"/>
        <w:spacing w:beforeLines="50"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第三阶段：2020年4月1日-2020年5月31日</w:t>
      </w:r>
    </w:p>
    <w:p>
      <w:pPr>
        <w:adjustRightInd w:val="0"/>
        <w:snapToGrid w:val="0"/>
        <w:spacing w:beforeLines="50"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bCs/>
          <w:sz w:val="32"/>
          <w:szCs w:val="32"/>
        </w:rPr>
        <w:t>主要工作：</w:t>
      </w:r>
      <w:r>
        <w:rPr>
          <w:rFonts w:hint="eastAsia" w:ascii="仿宋_GB2312" w:hAnsi="仿宋_GB2312" w:eastAsia="仿宋_GB2312" w:cs="仿宋_GB2312"/>
          <w:sz w:val="32"/>
          <w:szCs w:val="32"/>
        </w:rPr>
        <w:t>继续深化研究，形成汇报PPT，向甲方进行第二次成果汇报，组织专家开展专家评审会验收，根据各方意见进行修改完善并提交成果终稿。</w:t>
      </w:r>
    </w:p>
    <w:p>
      <w:pPr>
        <w:spacing w:line="560" w:lineRule="exact"/>
        <w:ind w:firstLine="640" w:firstLineChars="200"/>
        <w:rPr>
          <w:rFonts w:ascii="黑体" w:hAnsi="黑体" w:eastAsia="黑体" w:cs="仿宋_GB2312"/>
          <w:color w:val="0000FF"/>
          <w:sz w:val="32"/>
          <w:szCs w:val="32"/>
        </w:rPr>
      </w:pPr>
      <w:r>
        <w:rPr>
          <w:rFonts w:hint="eastAsia" w:ascii="黑体" w:hAnsi="黑体" w:eastAsia="黑体" w:cs="仿宋_GB2312"/>
          <w:sz w:val="32"/>
          <w:szCs w:val="32"/>
        </w:rPr>
        <w:t>二、服务收费及支付方式</w:t>
      </w:r>
    </w:p>
    <w:p>
      <w:pPr>
        <w:spacing w:line="560" w:lineRule="exact"/>
        <w:ind w:firstLine="640" w:firstLineChars="200"/>
        <w:rPr>
          <w:rFonts w:ascii="楷体_GB2312" w:hAnsi="仿宋_GB2312" w:eastAsia="楷体_GB2312" w:cs="仿宋_GB2312"/>
          <w:sz w:val="32"/>
          <w:szCs w:val="32"/>
        </w:rPr>
      </w:pPr>
      <w:r>
        <w:rPr>
          <w:rFonts w:hint="eastAsia" w:ascii="楷体_GB2312" w:hAnsi="仿宋_GB2312" w:eastAsia="楷体_GB2312" w:cs="仿宋_GB2312"/>
          <w:sz w:val="32"/>
          <w:szCs w:val="32"/>
        </w:rPr>
        <w:t>（一）服务收费：</w:t>
      </w:r>
    </w:p>
    <w:p>
      <w:pPr>
        <w:adjustRightInd w:val="0"/>
        <w:snapToGrid w:val="0"/>
        <w:spacing w:beforeLines="30" w:line="560" w:lineRule="exact"/>
        <w:ind w:firstLine="640" w:firstLineChars="200"/>
        <w:rPr>
          <w:rFonts w:ascii="仿宋_GB2312" w:hAnsi="仿宋_GB2312" w:eastAsia="仿宋_GB2312" w:cs="仿宋_GB2312"/>
          <w:color w:val="000000" w:themeColor="text1"/>
          <w:sz w:val="32"/>
          <w:szCs w:val="32"/>
        </w:rPr>
      </w:pPr>
      <w:r>
        <w:rPr>
          <w:rFonts w:hint="eastAsia" w:ascii="仿宋_GB2312" w:hAnsi="仿宋_GB2312" w:eastAsia="仿宋_GB2312" w:cs="仿宋_GB2312"/>
          <w:sz w:val="32"/>
          <w:szCs w:val="32"/>
        </w:rPr>
        <w:t>甲方向乙方共支付规划编制服务费用为人民币大写：壹拾玖万玖仟元整（199000.00元）。本费用为包干费用，包含税费、管理费、专家评审费等任何涉及该项目支出的费用。</w:t>
      </w:r>
    </w:p>
    <w:p>
      <w:pPr>
        <w:spacing w:line="560" w:lineRule="exact"/>
        <w:ind w:firstLine="640" w:firstLineChars="200"/>
        <w:rPr>
          <w:rFonts w:ascii="楷体_GB2312" w:hAnsi="仿宋_GB2312" w:eastAsia="楷体_GB2312" w:cs="仿宋_GB2312"/>
          <w:sz w:val="32"/>
          <w:szCs w:val="32"/>
        </w:rPr>
      </w:pPr>
      <w:r>
        <w:rPr>
          <w:rFonts w:hint="eastAsia" w:ascii="楷体_GB2312" w:hAnsi="仿宋_GB2312" w:eastAsia="楷体_GB2312" w:cs="仿宋_GB2312"/>
          <w:sz w:val="32"/>
          <w:szCs w:val="32"/>
        </w:rPr>
        <w:t>（二）编制经费以分期拨款方式支付：</w:t>
      </w:r>
    </w:p>
    <w:p>
      <w:pPr>
        <w:adjustRightInd w:val="0"/>
        <w:snapToGrid w:val="0"/>
        <w:spacing w:beforeLines="30"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编制服务费分两个阶段支付：第一阶段在双方签订本协议书并正式启动工作后五个工作日内，甲方向乙方支付第一期编制服务费壹拾贰万元整（120000.00元）；第二阶段在乙方按照甲方的意见和要求，通过专家评审验收后，完成并提交《昆明市呈贡区“十四五”数字经济及信息产业发展规划》文本成果20套、电子版文件（WORD）1份、汇报演示文件（PPT）1份后五个工作日内，支付第二期编制服务费柒万玖仟元整（79000.00元）。</w:t>
      </w:r>
    </w:p>
    <w:p>
      <w:pPr>
        <w:spacing w:line="560" w:lineRule="exact"/>
        <w:ind w:firstLine="640" w:firstLineChars="200"/>
        <w:rPr>
          <w:rFonts w:ascii="黑体" w:hAnsi="黑体" w:eastAsia="黑体" w:cs="黑体"/>
          <w:sz w:val="32"/>
          <w:szCs w:val="32"/>
        </w:rPr>
      </w:pPr>
      <w:r>
        <w:rPr>
          <w:rFonts w:hint="eastAsia" w:ascii="黑体" w:hAnsi="黑体" w:eastAsia="黑体" w:cs="黑体"/>
          <w:sz w:val="32"/>
          <w:szCs w:val="32"/>
        </w:rPr>
        <w:t>三、双方权利义务</w:t>
      </w:r>
    </w:p>
    <w:p>
      <w:pPr>
        <w:adjustRightInd w:val="0"/>
        <w:snapToGrid w:val="0"/>
        <w:spacing w:beforeLines="50"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（一）甲乙双方成立项目研究领导小组，由双方高层参加。</w:t>
      </w:r>
    </w:p>
    <w:p>
      <w:pPr>
        <w:adjustRightInd w:val="0"/>
        <w:snapToGrid w:val="0"/>
        <w:spacing w:beforeLines="30"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甲乙双方成立项目执行小组，乙方派出有丰富经验与专业能力的4-5名咨询人员，甲方派出相应人员1-2名。甲乙双方分别指定一名项目负责人，项目经理负责设计项目工作总方案、制订项目工作计划、组织团队成员执行项目计划。</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（三）项目运行中，甲方向乙方提供项目所需的信息，向乙方咨询人员开放已有的资料文件，保密的信息和资料文件除外。</w:t>
      </w:r>
    </w:p>
    <w:p>
      <w:pPr>
        <w:spacing w:line="560" w:lineRule="exact"/>
        <w:ind w:firstLine="640" w:firstLineChars="200"/>
        <w:rPr>
          <w:rFonts w:ascii="黑体" w:hAnsi="黑体" w:eastAsia="黑体" w:cs="黑体"/>
          <w:sz w:val="32"/>
          <w:szCs w:val="32"/>
        </w:rPr>
      </w:pPr>
      <w:r>
        <w:rPr>
          <w:rFonts w:hint="eastAsia" w:ascii="黑体" w:hAnsi="黑体" w:eastAsia="黑体" w:cs="黑体"/>
          <w:sz w:val="32"/>
          <w:szCs w:val="32"/>
        </w:rPr>
        <w:t>四、成果权属及保密条款</w:t>
      </w:r>
    </w:p>
    <w:p>
      <w:pPr>
        <w:adjustRightInd w:val="0"/>
        <w:snapToGrid w:val="0"/>
        <w:spacing w:beforeLines="30"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 知识产权归属：本研究中涉及昆明市呈贡区“十四五”数字经济及信息产业发展规划编制的应用成果归甲方所有，涉及理论研究成果的知识产权归甲、乙双方共同所有。</w:t>
      </w:r>
    </w:p>
    <w:p>
      <w:pPr>
        <w:adjustRightInd w:val="0"/>
        <w:snapToGrid w:val="0"/>
        <w:spacing w:beforeLines="30"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 乙方及其员工应严格保守甲方的商业秘密，甲方及其员工严格保守乙方的商业秘密，保密期为一年。甲乙双方未经对方同意不得向任何第三方泄漏对方所提供的相关信息。任何一方对所获知的对方未向社会公开的所有信息资料、技术情况和商业秘密负有保密义务，未经对方书面许可，任何一方不得将其泄露给第三方。</w:t>
      </w:r>
    </w:p>
    <w:p>
      <w:pPr>
        <w:spacing w:line="560" w:lineRule="exact"/>
        <w:ind w:firstLine="640" w:firstLineChars="200"/>
        <w:rPr>
          <w:rFonts w:ascii="黑体" w:hAnsi="黑体" w:eastAsia="黑体" w:cs="黑体"/>
          <w:sz w:val="32"/>
          <w:szCs w:val="32"/>
        </w:rPr>
      </w:pPr>
      <w:r>
        <w:rPr>
          <w:rFonts w:hint="eastAsia" w:ascii="黑体" w:hAnsi="黑体" w:eastAsia="黑体" w:cs="黑体"/>
          <w:sz w:val="32"/>
          <w:szCs w:val="32"/>
        </w:rPr>
        <w:t>五、违约责任</w:t>
      </w:r>
    </w:p>
    <w:p>
      <w:pPr>
        <w:adjustRightInd w:val="0"/>
        <w:snapToGrid w:val="0"/>
        <w:spacing w:beforeLines="50"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 协议双方应该严格遵守上述约定，如因其中一方违约给对方造成损失应承担相应的违约责任。</w:t>
      </w:r>
    </w:p>
    <w:p>
      <w:pPr>
        <w:adjustRightInd w:val="0"/>
        <w:snapToGrid w:val="0"/>
        <w:spacing w:beforeLines="10"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 在为甲方工作期间，乙方应针对甲方实际提出具有前瞻性且现实的方案，避免直接使用其他项目的既成成果。如因此导致工作延误或其他问题，则乙方应承担相应责任。</w:t>
      </w:r>
    </w:p>
    <w:p>
      <w:pPr>
        <w:spacing w:line="560" w:lineRule="exact"/>
        <w:ind w:firstLine="640" w:firstLineChars="200"/>
        <w:rPr>
          <w:rFonts w:ascii="黑体" w:hAnsi="黑体" w:eastAsia="黑体" w:cs="仿宋_GB2312"/>
          <w:sz w:val="32"/>
          <w:szCs w:val="32"/>
        </w:rPr>
      </w:pPr>
      <w:r>
        <w:rPr>
          <w:rFonts w:hint="eastAsia" w:ascii="黑体" w:hAnsi="黑体" w:eastAsia="黑体" w:cs="仿宋_GB2312"/>
          <w:sz w:val="32"/>
          <w:szCs w:val="32"/>
        </w:rPr>
        <w:t>六、公示情况</w:t>
      </w:r>
    </w:p>
    <w:p>
      <w:pPr>
        <w:spacing w:line="560" w:lineRule="exact"/>
        <w:ind w:firstLine="640" w:firstLineChars="200"/>
        <w:rPr>
          <w:rFonts w:ascii="仿宋_GB2312" w:hAnsi="黑体" w:eastAsia="仿宋_GB2312" w:cs="仿宋_GB2312"/>
          <w:sz w:val="32"/>
          <w:szCs w:val="32"/>
        </w:rPr>
      </w:pPr>
      <w:r>
        <w:rPr>
          <w:rFonts w:hint="eastAsia" w:ascii="仿宋_GB2312" w:hAnsi="黑体" w:eastAsia="仿宋_GB2312" w:cs="仿宋_GB2312"/>
          <w:sz w:val="32"/>
          <w:szCs w:val="32"/>
        </w:rPr>
        <w:t>此次规划编制购买服务公示期为5个工作日（2019年12月2</w:t>
      </w:r>
      <w:r>
        <w:rPr>
          <w:rFonts w:hint="eastAsia" w:ascii="仿宋_GB2312" w:hAnsi="黑体" w:eastAsia="仿宋_GB2312" w:cs="仿宋_GB2312"/>
          <w:sz w:val="32"/>
          <w:szCs w:val="32"/>
          <w:lang w:val="en-US" w:eastAsia="zh-CN"/>
        </w:rPr>
        <w:t>6</w:t>
      </w:r>
      <w:r>
        <w:rPr>
          <w:rFonts w:hint="eastAsia" w:ascii="仿宋_GB2312" w:hAnsi="黑体" w:eastAsia="仿宋_GB2312" w:cs="仿宋_GB2312"/>
          <w:sz w:val="32"/>
          <w:szCs w:val="32"/>
        </w:rPr>
        <w:t>日至20</w:t>
      </w:r>
      <w:r>
        <w:rPr>
          <w:rFonts w:hint="eastAsia" w:ascii="仿宋_GB2312" w:hAnsi="黑体" w:eastAsia="仿宋_GB2312" w:cs="仿宋_GB2312"/>
          <w:sz w:val="32"/>
          <w:szCs w:val="32"/>
          <w:lang w:val="en-US" w:eastAsia="zh-CN"/>
        </w:rPr>
        <w:t>20</w:t>
      </w:r>
      <w:r>
        <w:rPr>
          <w:rFonts w:hint="eastAsia" w:ascii="仿宋_GB2312" w:hAnsi="黑体" w:eastAsia="仿宋_GB2312" w:cs="仿宋_GB2312"/>
          <w:sz w:val="32"/>
          <w:szCs w:val="32"/>
        </w:rPr>
        <w:t>年</w:t>
      </w:r>
      <w:r>
        <w:rPr>
          <w:rFonts w:hint="eastAsia" w:ascii="仿宋_GB2312" w:hAnsi="黑体" w:eastAsia="仿宋_GB2312" w:cs="仿宋_GB2312"/>
          <w:sz w:val="32"/>
          <w:szCs w:val="32"/>
          <w:lang w:val="en-US" w:eastAsia="zh-CN"/>
        </w:rPr>
        <w:t>1</w:t>
      </w:r>
      <w:r>
        <w:rPr>
          <w:rFonts w:hint="eastAsia" w:ascii="仿宋_GB2312" w:hAnsi="黑体" w:eastAsia="仿宋_GB2312" w:cs="仿宋_GB2312"/>
          <w:sz w:val="32"/>
          <w:szCs w:val="32"/>
        </w:rPr>
        <w:t>月</w:t>
      </w:r>
      <w:r>
        <w:rPr>
          <w:rFonts w:hint="eastAsia" w:ascii="仿宋_GB2312" w:hAnsi="黑体" w:eastAsia="仿宋_GB2312" w:cs="仿宋_GB2312"/>
          <w:sz w:val="32"/>
          <w:szCs w:val="32"/>
          <w:lang w:val="en-US" w:eastAsia="zh-CN"/>
        </w:rPr>
        <w:t>2</w:t>
      </w:r>
      <w:bookmarkStart w:id="0" w:name="_GoBack"/>
      <w:bookmarkEnd w:id="0"/>
      <w:r>
        <w:rPr>
          <w:rFonts w:hint="eastAsia" w:ascii="仿宋_GB2312" w:hAnsi="黑体" w:eastAsia="仿宋_GB2312" w:cs="仿宋_GB2312"/>
          <w:sz w:val="32"/>
          <w:szCs w:val="32"/>
        </w:rPr>
        <w:t>日），在中国呈贡网站“公示公告”栏目公示。</w:t>
      </w:r>
    </w:p>
    <w:p>
      <w:pPr>
        <w:spacing w:line="560" w:lineRule="exact"/>
        <w:ind w:firstLine="640" w:firstLineChars="200"/>
        <w:rPr>
          <w:rFonts w:ascii="仿宋_GB2312" w:hAnsi="黑体" w:eastAsia="仿宋_GB2312" w:cs="仿宋_GB2312"/>
          <w:sz w:val="32"/>
          <w:szCs w:val="32"/>
        </w:rPr>
      </w:pPr>
      <w:r>
        <w:rPr>
          <w:rFonts w:hint="eastAsia" w:ascii="仿宋_GB2312" w:hAnsi="黑体" w:eastAsia="仿宋_GB2312" w:cs="仿宋_GB2312"/>
          <w:sz w:val="32"/>
          <w:szCs w:val="32"/>
        </w:rPr>
        <w:t>公示网址：cg.km.gov.cn</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80933"/>
    <w:rsid w:val="000650D1"/>
    <w:rsid w:val="000A7D97"/>
    <w:rsid w:val="00224721"/>
    <w:rsid w:val="003F1533"/>
    <w:rsid w:val="005F24B2"/>
    <w:rsid w:val="00692612"/>
    <w:rsid w:val="00720EB6"/>
    <w:rsid w:val="00780933"/>
    <w:rsid w:val="0081340F"/>
    <w:rsid w:val="00975357"/>
    <w:rsid w:val="009978DE"/>
    <w:rsid w:val="009D4E7E"/>
    <w:rsid w:val="009E4540"/>
    <w:rsid w:val="00A834A2"/>
    <w:rsid w:val="00AD61AB"/>
    <w:rsid w:val="00B15D68"/>
    <w:rsid w:val="00B50ED9"/>
    <w:rsid w:val="00BF5A98"/>
    <w:rsid w:val="00F11080"/>
    <w:rsid w:val="00F61EA2"/>
    <w:rsid w:val="055A6C01"/>
    <w:rsid w:val="13056882"/>
    <w:rsid w:val="14401B58"/>
    <w:rsid w:val="1FDC773B"/>
    <w:rsid w:val="22562B73"/>
    <w:rsid w:val="234E78CC"/>
    <w:rsid w:val="29AF286B"/>
    <w:rsid w:val="42C864A3"/>
    <w:rsid w:val="4831261D"/>
    <w:rsid w:val="4B1D2B7A"/>
    <w:rsid w:val="4CFE156F"/>
    <w:rsid w:val="52A6106E"/>
    <w:rsid w:val="5CAC3296"/>
    <w:rsid w:val="5FD86A6F"/>
    <w:rsid w:val="71A231CD"/>
    <w:rsid w:val="734640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nhideWhenUsed/>
    <w:uiPriority w:val="1"/>
  </w:style>
  <w:style w:type="table" w:default="1" w:styleId="2">
    <w:name w:val="Normal Table"/>
    <w:semiHidden/>
    <w:unhideWhenUsed/>
    <w:qFormat/>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5</Pages>
  <Words>322</Words>
  <Characters>1839</Characters>
  <Lines>15</Lines>
  <Paragraphs>4</Paragraphs>
  <TotalTime>10</TotalTime>
  <ScaleCrop>false</ScaleCrop>
  <LinksUpToDate>false</LinksUpToDate>
  <CharactersWithSpaces>2157</CharactersWithSpaces>
  <Application>WPS Office_11.1.0.9305_F1E327BC-269C-435d-A152-05C5408002CA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2019-05-14T03:49:00Z</dcterms:created>
  <dc:creator>樊同启</dc:creator>
  <cp:lastModifiedBy>毅</cp:lastModifiedBy>
  <cp:lastPrinted>2019-12-25T06:28:00Z</cp:lastPrinted>
  <dcterms:modified xsi:type="dcterms:W3CDTF">2019-12-26T01:58:08Z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2052-11.1.0.9305</vt:lpwstr>
  </property>
</Properties>
</file>