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</w:pPr>
      <w:r>
        <w:t xml:space="preserve">                                                                             </w:t>
      </w:r>
      <w:r>
        <w:rPr>
          <w:rFonts w:hint="eastAsia" w:cs="微软雅黑"/>
        </w:rPr>
        <w:t>合同编号：</w:t>
      </w:r>
      <w:r>
        <w:t>YNYW20191101</w:t>
      </w:r>
    </w:p>
    <w:p>
      <w:pPr>
        <w:spacing w:line="220" w:lineRule="atLeast"/>
        <w:jc w:val="center"/>
        <w:rPr>
          <w:rFonts w:ascii="宋体" w:hAnsi="宋体" w:eastAsia="宋体"/>
          <w:sz w:val="84"/>
          <w:szCs w:val="84"/>
        </w:rPr>
      </w:pPr>
      <w:r>
        <w:rPr>
          <w:rFonts w:hint="eastAsia" w:ascii="宋体" w:hAnsi="宋体" w:eastAsia="宋体" w:cs="宋体"/>
          <w:sz w:val="84"/>
          <w:szCs w:val="84"/>
        </w:rPr>
        <w:t>档</w:t>
      </w:r>
      <w:r>
        <w:rPr>
          <w:rFonts w:ascii="宋体" w:hAnsi="宋体" w:eastAsia="宋体" w:cs="宋体"/>
          <w:sz w:val="84"/>
          <w:szCs w:val="84"/>
        </w:rPr>
        <w:t xml:space="preserve">  </w:t>
      </w:r>
      <w:r>
        <w:rPr>
          <w:rFonts w:hint="eastAsia" w:ascii="宋体" w:hAnsi="宋体" w:eastAsia="宋体" w:cs="宋体"/>
          <w:sz w:val="84"/>
          <w:szCs w:val="84"/>
        </w:rPr>
        <w:t>案</w:t>
      </w:r>
      <w:r>
        <w:rPr>
          <w:rFonts w:ascii="宋体" w:hAnsi="宋体" w:eastAsia="宋体" w:cs="宋体"/>
          <w:sz w:val="84"/>
          <w:szCs w:val="84"/>
        </w:rPr>
        <w:t xml:space="preserve">  </w:t>
      </w:r>
      <w:r>
        <w:rPr>
          <w:rFonts w:hint="eastAsia" w:ascii="宋体" w:hAnsi="宋体" w:eastAsia="宋体" w:cs="宋体"/>
          <w:sz w:val="84"/>
          <w:szCs w:val="84"/>
        </w:rPr>
        <w:t>整</w:t>
      </w:r>
      <w:r>
        <w:rPr>
          <w:rFonts w:ascii="宋体" w:hAnsi="宋体" w:eastAsia="宋体" w:cs="宋体"/>
          <w:sz w:val="84"/>
          <w:szCs w:val="84"/>
        </w:rPr>
        <w:t xml:space="preserve">  </w:t>
      </w:r>
      <w:r>
        <w:rPr>
          <w:rFonts w:hint="eastAsia" w:ascii="宋体" w:hAnsi="宋体" w:eastAsia="宋体" w:cs="宋体"/>
          <w:sz w:val="84"/>
          <w:szCs w:val="84"/>
        </w:rPr>
        <w:t>理</w:t>
      </w:r>
    </w:p>
    <w:p>
      <w:pPr>
        <w:spacing w:line="220" w:lineRule="atLeast"/>
        <w:jc w:val="center"/>
        <w:rPr>
          <w:rFonts w:ascii="宋体" w:hAnsi="宋体" w:eastAsia="宋体"/>
          <w:sz w:val="84"/>
          <w:szCs w:val="84"/>
        </w:rPr>
      </w:pPr>
    </w:p>
    <w:p>
      <w:pPr>
        <w:spacing w:line="220" w:lineRule="atLeast"/>
        <w:jc w:val="center"/>
        <w:rPr>
          <w:rFonts w:ascii="宋体" w:hAnsi="宋体" w:eastAsia="宋体"/>
          <w:sz w:val="84"/>
          <w:szCs w:val="84"/>
        </w:rPr>
      </w:pPr>
      <w:r>
        <w:rPr>
          <w:rFonts w:hint="eastAsia" w:ascii="宋体" w:hAnsi="宋体" w:eastAsia="宋体" w:cs="宋体"/>
          <w:sz w:val="84"/>
          <w:szCs w:val="84"/>
        </w:rPr>
        <w:t>合</w:t>
      </w:r>
    </w:p>
    <w:p>
      <w:pPr>
        <w:spacing w:line="220" w:lineRule="atLeast"/>
        <w:jc w:val="center"/>
        <w:rPr>
          <w:rFonts w:ascii="宋体" w:hAnsi="宋体" w:eastAsia="宋体"/>
          <w:sz w:val="84"/>
          <w:szCs w:val="84"/>
        </w:rPr>
      </w:pPr>
      <w:r>
        <w:rPr>
          <w:rFonts w:hint="eastAsia" w:ascii="宋体" w:hAnsi="宋体" w:eastAsia="宋体" w:cs="宋体"/>
          <w:sz w:val="84"/>
          <w:szCs w:val="84"/>
        </w:rPr>
        <w:t>同</w:t>
      </w:r>
    </w:p>
    <w:p>
      <w:pPr>
        <w:spacing w:line="220" w:lineRule="atLeast"/>
        <w:jc w:val="center"/>
        <w:rPr>
          <w:rFonts w:ascii="宋体" w:hAnsi="宋体" w:eastAsia="宋体"/>
          <w:sz w:val="84"/>
          <w:szCs w:val="84"/>
        </w:rPr>
      </w:pPr>
      <w:r>
        <w:rPr>
          <w:rFonts w:hint="eastAsia" w:ascii="宋体" w:hAnsi="宋体" w:eastAsia="宋体" w:cs="宋体"/>
          <w:sz w:val="84"/>
          <w:szCs w:val="84"/>
        </w:rPr>
        <w:t>书</w:t>
      </w:r>
    </w:p>
    <w:p>
      <w:pPr>
        <w:spacing w:line="220" w:lineRule="atLeast"/>
        <w:rPr>
          <w:rFonts w:ascii="宋体" w:hAnsi="宋体" w:eastAsia="宋体"/>
          <w:b/>
          <w:bCs/>
          <w:sz w:val="30"/>
          <w:szCs w:val="30"/>
        </w:rPr>
      </w:pPr>
    </w:p>
    <w:p>
      <w:pPr>
        <w:spacing w:line="220" w:lineRule="atLeast"/>
        <w:rPr>
          <w:rFonts w:ascii="宋体" w:hAnsi="宋体" w:eastAsia="宋体"/>
          <w:b/>
          <w:bCs/>
          <w:sz w:val="30"/>
          <w:szCs w:val="30"/>
        </w:rPr>
      </w:pPr>
    </w:p>
    <w:p>
      <w:pPr>
        <w:spacing w:line="220" w:lineRule="atLeast"/>
        <w:rPr>
          <w:rFonts w:ascii="宋体" w:hAnsi="宋体" w:eastAsia="宋体"/>
          <w:b/>
          <w:bCs/>
          <w:sz w:val="30"/>
          <w:szCs w:val="30"/>
        </w:rPr>
      </w:pPr>
    </w:p>
    <w:p>
      <w:pPr>
        <w:spacing w:line="220" w:lineRule="atLeast"/>
        <w:rPr>
          <w:rFonts w:ascii="宋体" w:hAnsi="宋体" w:eastAsia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项目单位：</w:t>
      </w:r>
      <w:r>
        <w:rPr>
          <w:rFonts w:ascii="宋体" w:hAnsi="宋体" w:eastAsia="宋体" w:cs="宋体"/>
          <w:sz w:val="30"/>
          <w:szCs w:val="30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>昆明市生态环境局呈贡分局</w:t>
      </w:r>
    </w:p>
    <w:p>
      <w:pPr>
        <w:spacing w:line="220" w:lineRule="atLeast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项目名称：</w:t>
      </w:r>
      <w:r>
        <w:rPr>
          <w:rFonts w:ascii="宋体" w:hAnsi="宋体" w:eastAsia="宋体" w:cs="宋体"/>
          <w:b/>
          <w:bCs/>
          <w:sz w:val="30"/>
          <w:szCs w:val="30"/>
        </w:rPr>
        <w:t xml:space="preserve"> 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>第二次全国污染源普查档案全套整理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     </w:t>
      </w:r>
    </w:p>
    <w:p>
      <w:pPr>
        <w:spacing w:line="220" w:lineRule="atLeast"/>
        <w:rPr>
          <w:rFonts w:ascii="宋体" w:hAnsi="宋体" w:eastAsia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项目负责人：</w:t>
      </w:r>
      <w:r>
        <w:rPr>
          <w:rFonts w:hint="eastAsia" w:ascii="宋体" w:hAnsi="宋体" w:eastAsia="宋体" w:cs="宋体"/>
          <w:sz w:val="30"/>
          <w:szCs w:val="30"/>
          <w:u w:val="single"/>
        </w:rPr>
        <w:t>许永娟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</w:p>
    <w:p>
      <w:pPr>
        <w:spacing w:line="220" w:lineRule="atLeast"/>
        <w:rPr>
          <w:rFonts w:ascii="宋体" w:hAnsi="宋体" w:eastAsia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签订日期：</w:t>
      </w:r>
      <w:r>
        <w:rPr>
          <w:rFonts w:ascii="宋体" w:hAnsi="宋体" w:eastAsia="宋体" w:cs="宋体"/>
          <w:b/>
          <w:bCs/>
          <w:sz w:val="30"/>
          <w:szCs w:val="30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>2019</w:t>
      </w:r>
      <w:r>
        <w:rPr>
          <w:rFonts w:hint="eastAsia" w:ascii="宋体" w:hAnsi="宋体" w:eastAsia="宋体" w:cs="宋体"/>
          <w:sz w:val="30"/>
          <w:szCs w:val="30"/>
          <w:u w:val="single"/>
        </w:rPr>
        <w:t>年</w:t>
      </w:r>
      <w:r>
        <w:rPr>
          <w:rFonts w:ascii="宋体" w:hAnsi="宋体" w:eastAsia="宋体" w:cs="宋体"/>
          <w:sz w:val="30"/>
          <w:szCs w:val="30"/>
          <w:u w:val="single"/>
        </w:rPr>
        <w:t>11</w:t>
      </w:r>
      <w:r>
        <w:rPr>
          <w:rFonts w:hint="eastAsia" w:ascii="宋体" w:hAnsi="宋体" w:eastAsia="宋体" w:cs="宋体"/>
          <w:sz w:val="30"/>
          <w:szCs w:val="30"/>
          <w:u w:val="single"/>
        </w:rPr>
        <w:t>月11日</w:t>
      </w:r>
    </w:p>
    <w:p>
      <w:pPr>
        <w:spacing w:line="220" w:lineRule="atLeast"/>
        <w:rPr>
          <w:rFonts w:ascii="宋体" w:hAnsi="宋体" w:eastAsia="宋体"/>
          <w:sz w:val="30"/>
          <w:szCs w:val="30"/>
        </w:rPr>
      </w:pPr>
    </w:p>
    <w:p>
      <w:pPr>
        <w:spacing w:line="220" w:lineRule="atLeast"/>
        <w:rPr>
          <w:rFonts w:ascii="宋体" w:hAnsi="宋体" w:eastAsia="宋体"/>
          <w:sz w:val="30"/>
          <w:szCs w:val="30"/>
        </w:rPr>
      </w:pPr>
    </w:p>
    <w:p>
      <w:pPr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 xml:space="preserve"> </w:t>
      </w:r>
    </w:p>
    <w:p>
      <w:pPr>
        <w:jc w:val="center"/>
        <w:rPr>
          <w:rFonts w:ascii="宋体" w:hAnsi="宋体" w:eastAsia="宋体"/>
          <w:b/>
          <w:bCs/>
          <w:sz w:val="44"/>
          <w:szCs w:val="44"/>
        </w:rPr>
      </w:pPr>
    </w:p>
    <w:p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档案整理合同</w:t>
      </w:r>
    </w:p>
    <w:p>
      <w:pPr>
        <w:jc w:val="center"/>
        <w:rPr>
          <w:rFonts w:ascii="宋体" w:eastAsia="宋体"/>
          <w:b/>
          <w:bCs/>
          <w:sz w:val="18"/>
          <w:szCs w:val="18"/>
        </w:rPr>
      </w:pPr>
      <w:r>
        <w:rPr>
          <w:rFonts w:ascii="宋体" w:hAnsi="宋体" w:cs="宋体"/>
          <w:sz w:val="28"/>
          <w:szCs w:val="28"/>
        </w:rPr>
        <w:t xml:space="preserve">                               </w:t>
      </w:r>
    </w:p>
    <w:p>
      <w:pPr>
        <w:widowControl w:val="0"/>
        <w:adjustRightInd/>
        <w:snapToGrid/>
        <w:spacing w:line="480" w:lineRule="exact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甲方：昆明市生态环境局呈贡分局（以下简称甲方）</w:t>
      </w:r>
    </w:p>
    <w:p>
      <w:pPr>
        <w:widowControl w:val="0"/>
        <w:adjustRightInd/>
        <w:snapToGrid/>
        <w:spacing w:line="480" w:lineRule="exact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乙方：云南亚伟科技有限公司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经甲乙双方友好协商，就乙方为甲方的档案进行整理的项目内容、整理费用、质量要求、安全保密、违约责任、付款方式、整理时间、双方的权利义务及其他事项达成一致，订立本合同，双方共同遵守。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一、乙方为甲方的档案进行整理的内容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（一）第二次全国污染源普查档案整理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（二）著录电子目录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（三）原文数据扫描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（四）档案装盒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（五）打印纸质档案目录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（六）全套数据备份（南天档案管理系统）</w:t>
      </w:r>
    </w:p>
    <w:p>
      <w:pPr>
        <w:widowControl w:val="0"/>
        <w:adjustRightInd/>
        <w:snapToGrid/>
        <w:spacing w:line="480" w:lineRule="exact"/>
        <w:ind w:firstLine="64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二、甲方以如下单价向乙方支付加工费用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（一）污染源普查档案整理（单价</w:t>
      </w:r>
      <w:r>
        <w:rPr>
          <w:rFonts w:ascii="仿宋_GB2312" w:hAnsi="仿宋_GB2312" w:eastAsia="仿宋_GB2312" w:cs="仿宋_GB2312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公分）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（二）著录电子目录和打印（单价</w:t>
      </w:r>
      <w:r>
        <w:rPr>
          <w:rFonts w:ascii="仿宋_GB2312" w:hAnsi="仿宋_GB2312" w:eastAsia="仿宋_GB2312" w:cs="仿宋_GB2312"/>
          <w:sz w:val="32"/>
          <w:szCs w:val="32"/>
        </w:rPr>
        <w:t>0.35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条）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（三）原文数据扫描上载（单价</w:t>
      </w:r>
      <w:r>
        <w:rPr>
          <w:rFonts w:ascii="仿宋_GB2312" w:hAnsi="仿宋_GB2312" w:eastAsia="仿宋_GB2312" w:cs="仿宋_GB2312"/>
          <w:sz w:val="32"/>
          <w:szCs w:val="32"/>
        </w:rPr>
        <w:t>0.35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页）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（四）盖归档章、打印档案背脊（单价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件）</w:t>
      </w:r>
    </w:p>
    <w:p>
      <w:pPr>
        <w:widowControl w:val="0"/>
        <w:adjustRightInd/>
        <w:snapToGrid/>
        <w:spacing w:line="480" w:lineRule="exact"/>
        <w:ind w:firstLine="64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三、预算费用明细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（一）档案整理（</w:t>
      </w:r>
      <w:r>
        <w:rPr>
          <w:rFonts w:ascii="仿宋_GB2312" w:hAnsi="仿宋_GB2312" w:eastAsia="仿宋_GB2312" w:cs="仿宋_GB2312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公分</w:t>
      </w:r>
      <w:r>
        <w:rPr>
          <w:rFonts w:ascii="Arial" w:hAnsi="Arial" w:eastAsia="仿宋_GB2312" w:cs="Arial"/>
          <w:sz w:val="32"/>
          <w:szCs w:val="32"/>
        </w:rPr>
        <w:t>×400=12000</w:t>
      </w:r>
      <w:r>
        <w:rPr>
          <w:rFonts w:hint="eastAsia" w:ascii="Arial" w:hAnsi="Arial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（二）著录电子目录（</w:t>
      </w:r>
      <w:r>
        <w:rPr>
          <w:rFonts w:ascii="仿宋_GB2312" w:hAnsi="仿宋_GB2312" w:eastAsia="仿宋_GB2312" w:cs="仿宋_GB2312"/>
          <w:sz w:val="32"/>
          <w:szCs w:val="32"/>
        </w:rPr>
        <w:t>0.35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ascii="Arial" w:hAnsi="Arial" w:eastAsia="仿宋_GB2312" w:cs="Arial"/>
          <w:sz w:val="32"/>
          <w:szCs w:val="32"/>
        </w:rPr>
        <w:t>×20000=7000</w:t>
      </w:r>
      <w:r>
        <w:rPr>
          <w:rFonts w:hint="eastAsia" w:ascii="Arial" w:hAnsi="Arial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（三）原文数据扫描上载（</w:t>
      </w:r>
      <w:r>
        <w:rPr>
          <w:rFonts w:ascii="仿宋_GB2312" w:hAnsi="仿宋_GB2312" w:eastAsia="仿宋_GB2312" w:cs="仿宋_GB2312"/>
          <w:sz w:val="32"/>
          <w:szCs w:val="32"/>
        </w:rPr>
        <w:t>0.35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页</w:t>
      </w:r>
      <w:r>
        <w:rPr>
          <w:rFonts w:ascii="Arial" w:hAnsi="Arial" w:eastAsia="仿宋_GB2312" w:cs="Arial"/>
          <w:sz w:val="32"/>
          <w:szCs w:val="32"/>
        </w:rPr>
        <w:t>×30000=10500</w:t>
      </w:r>
      <w:r>
        <w:rPr>
          <w:rFonts w:hint="eastAsia" w:ascii="Arial" w:hAnsi="Arial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（四）盖归档章、打印档案背脊（单价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件</w:t>
      </w:r>
      <w:r>
        <w:rPr>
          <w:rFonts w:ascii="Arial" w:hAnsi="Arial" w:eastAsia="仿宋_GB2312" w:cs="Arial"/>
          <w:sz w:val="32"/>
          <w:szCs w:val="32"/>
        </w:rPr>
        <w:t>×210=1050</w:t>
      </w:r>
      <w:r>
        <w:rPr>
          <w:rFonts w:hint="eastAsia" w:ascii="Arial" w:hAnsi="Arial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合计：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叁万零伍佰伍拾元正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30550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元）。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合同价款按包干价结算，即使超出上述的按单价核算的数量，甲方不再另行支付超额费用，该费用还包括税费等。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四、档案整理质量要求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（一）目录信息与原文信息严格对应链接；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（二）著录的电子目录准确，无错别字；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（三）打印的纸质目录清晰，无多余杂点，无黑边；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（四）档案装具的外观盖章美观、整洁；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（五）文书档案的分类要符合昆明市档案局的要求，且按照原档案整理规则进行；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（六）整理的档案完整无缺页，无质量瑕疵，要便于后续查阅使用；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（七）符合国家档案局、昆明市档案局关于档案归档、立卷规定要求，并达到省、市污普办关于污染源普查档案的验收要求；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（八）在档案整理过程中，甲方如有特殊项目或者特殊质量要求，应明确告知乙方，乙方需按要求进行档案整理。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五、档案整理安全保密要求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（一）乙方应无条件地遵守甲方有关安全保密管理的制度规定，确保所有档案不丢失、不损毁、不泄密。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（二）甲方档案在乙方工作场所进行整理，乙方切实做好工作现场的安全，确保档案资料存放安全。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（三）未经甲方许可，乙方不得将任何档案资料原件带离工作现场，不得擅自复印、拍摄档案资料内容。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（四）电子数据在与乙方交接完毕后，永久删除。不得擅自复制或带离工作现场。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（五）乙方与甲方另行签订《档案整理保密协议书》，该协议书与本合同具有同等法律效力。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（六）在档案整理工作完成后，乙方也不得采取任何方式将档案整理过程中知悉的任何内容、文件等泄露给第三方，本约定长期有效。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六、违约责任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甲、乙双方应严格履行本协议，如有违约，应向对方支付本合同总价款的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10%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违约金，并承担因违约行为对守约方造成的损失及相应的法律责任，且守约方可根据具体违约行为的实际情况决定单方解除合同。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违反第五条约定造成的后果，由乙方承担全部法律责任，涉嫌泄露国家机密的，由司法机关对乙方相关人员追究法律责任。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七、付款方式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待甲方验收完毕无需再整改后，按照实际工作数量，一次性付清全款给乙方。付款时乙方应向甲方开具正式的收款发票，甲方收到发票后的五个工作日内进行付款。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八、整理时间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自双方合同签订之日起，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10 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个工作日内完成。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九、其他</w:t>
      </w:r>
    </w:p>
    <w:p>
      <w:pPr>
        <w:widowControl w:val="0"/>
        <w:adjustRightInd/>
        <w:snapToGrid/>
        <w:spacing w:line="480" w:lineRule="exact"/>
        <w:ind w:firstLine="6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（一）在档案整理过程中，甲方需提供档案盒、移动硬盘等必需的办公设备。</w:t>
      </w:r>
    </w:p>
    <w:p>
      <w:pPr>
        <w:widowControl w:val="0"/>
        <w:adjustRightInd/>
        <w:snapToGrid/>
        <w:spacing w:line="480" w:lineRule="exact"/>
        <w:ind w:firstLine="6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（二）在档案整理过程中，乙方工作人员需注意安全，由于自身原因或非甲方人员的第三人原因导致的人身损害或伤亡的，由乙方或第三人自行承担。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（三）本合同未尽事宜，由甲、乙双方协商解决，做出的书面补充约定与本合同具有同等效力。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（四）本合同壹式叁份，甲方两份、乙方壹份。</w:t>
      </w:r>
    </w:p>
    <w:p>
      <w:pPr>
        <w:widowControl w:val="0"/>
        <w:adjustRightInd/>
        <w:snapToGrid/>
        <w:spacing w:line="480" w:lineRule="exact"/>
        <w:ind w:firstLine="640" w:firstLineChars="200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（五）本合同经双方签字盖章之日起生效。</w:t>
      </w:r>
    </w:p>
    <w:p>
      <w:pPr>
        <w:tabs>
          <w:tab w:val="left" w:pos="4725"/>
        </w:tabs>
        <w:rPr>
          <w:rFonts w:ascii="宋体" w:hAnsi="宋体" w:eastAsia="宋体"/>
          <w:sz w:val="30"/>
          <w:szCs w:val="30"/>
        </w:rPr>
      </w:pPr>
      <w:bookmarkStart w:id="0" w:name="_GoBack"/>
      <w:bookmarkEnd w:id="0"/>
      <w:permStart w:id="0" w:edGrp="everyone"/>
      <w:permEnd w:id="0"/>
    </w:p>
    <w:sectPr>
      <w:headerReference r:id="rId3" w:type="default"/>
      <w:footerReference r:id="rId4" w:type="default"/>
      <w:pgSz w:w="11906" w:h="16838"/>
      <w:pgMar w:top="1440" w:right="1800" w:bottom="1440" w:left="1800" w:header="510" w:footer="51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rPr>
        <w:lang w:val="zh-CN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jc w:val="left"/>
      <w:rPr>
        <w:rFonts w:ascii="DFKai-SB" w:hAnsi="DFKai-SB" w:eastAsia="宋体"/>
        <w:b/>
        <w:bCs/>
        <w:sz w:val="30"/>
        <w:szCs w:val="30"/>
      </w:rPr>
    </w:pPr>
    <w:r>
      <w:pict>
        <v:shape id="PowerPlusWaterMarkObject6326248" o:spid="_x0000_s2049" o:spt="136" type="#_x0000_t136" style="position:absolute;left:0pt;height:51pt;width:397.5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云南亚伟科技有限公司" style="font-family:微软雅黑;font-size:40pt;v-text-align:center;"/>
        </v:shape>
      </w:pict>
    </w:r>
    <w:r>
      <w:pict>
        <v:shape id="_x0000_i1025" o:spt="75" type="#_x0000_t75" style="height:16.85pt;width:31.8pt;" filled="f" o:preferrelative="t" stroked="f" coordsize="21600,21600">
          <v:path/>
          <v:fill on="f" focussize="0,0"/>
          <v:stroke on="f" joinstyle="miter"/>
          <v:imagedata r:id="rId1" o:title=""/>
          <o:lock v:ext="edit" aspectratio="t"/>
          <w10:wrap type="none"/>
          <w10:anchorlock/>
        </v:shape>
      </w:pict>
    </w:r>
    <w:r>
      <w:rPr>
        <w:rFonts w:ascii="DFKai-SB" w:hAnsi="DFKai-SB" w:eastAsia="宋体" w:cs="DFKai-SB"/>
        <w:b/>
        <w:bCs/>
        <w:sz w:val="30"/>
        <w:szCs w:val="30"/>
      </w:rPr>
      <w:t xml:space="preserve">                  </w:t>
    </w:r>
    <w:r>
      <w:rPr>
        <w:rFonts w:hint="eastAsia" w:ascii="DFKai-SB" w:hAnsi="DFKai-SB" w:eastAsia="DFKai-SB" w:cs="DFKai-SB"/>
        <w:b/>
        <w:bCs/>
        <w:sz w:val="30"/>
        <w:szCs w:val="30"/>
      </w:rPr>
      <w:t>云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南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亚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伟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科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技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有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限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公</w:t>
    </w:r>
    <w:r>
      <w:rPr>
        <w:rFonts w:ascii="DFKai-SB" w:hAnsi="DFKai-SB" w:eastAsia="宋体" w:cs="DFKai-SB"/>
        <w:b/>
        <w:bCs/>
        <w:sz w:val="30"/>
        <w:szCs w:val="30"/>
      </w:rPr>
      <w:t xml:space="preserve"> </w:t>
    </w:r>
    <w:r>
      <w:rPr>
        <w:rFonts w:hint="eastAsia" w:ascii="DFKai-SB" w:hAnsi="DFKai-SB" w:eastAsia="DFKai-SB" w:cs="DFKai-SB"/>
        <w:b/>
        <w:bCs/>
        <w:sz w:val="30"/>
        <w:szCs w:val="30"/>
      </w:rPr>
      <w:t>司</w:t>
    </w:r>
  </w:p>
  <w:p>
    <w:pPr>
      <w:pStyle w:val="4"/>
      <w:pBdr>
        <w:bottom w:val="single" w:color="auto" w:sz="6" w:space="0"/>
      </w:pBdr>
      <w:rPr>
        <w:rFonts w:ascii="仿宋" w:hAnsi="仿宋" w:eastAsia="仿宋"/>
        <w:b/>
        <w:bCs/>
        <w:sz w:val="28"/>
        <w:szCs w:val="28"/>
      </w:rPr>
    </w:pPr>
    <w:r>
      <w:rPr>
        <w:rFonts w:ascii="仿宋" w:hAnsi="仿宋" w:eastAsia="仿宋" w:cs="仿宋"/>
        <w:b/>
        <w:bCs/>
        <w:color w:val="333333"/>
        <w:sz w:val="28"/>
        <w:szCs w:val="28"/>
      </w:rPr>
      <w:t xml:space="preserve"> YUNNANYAWEI Technology Co.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NotTrackMoves/>
  <w:trackRevisions w:val="1"/>
  <w:documentProtection w:edit="readOnly" w:enforcement="1" w:cryptProviderType="rsaFull" w:cryptAlgorithmClass="hash" w:cryptAlgorithmType="typeAny" w:cryptAlgorithmSid="4" w:cryptSpinCount="0" w:hash="E8FdyvqlVbJp20/PEtnpq3Lu+Vc=" w:salt="FU2pYkin6Bswk993tij5OQ=="/>
  <w:defaultTabStop w:val="720"/>
  <w:doNotHyphenateCaps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D50"/>
    <w:rsid w:val="00030958"/>
    <w:rsid w:val="000322A7"/>
    <w:rsid w:val="00052811"/>
    <w:rsid w:val="00053DA8"/>
    <w:rsid w:val="000606CB"/>
    <w:rsid w:val="0007737C"/>
    <w:rsid w:val="000801B2"/>
    <w:rsid w:val="00085FA3"/>
    <w:rsid w:val="000D1806"/>
    <w:rsid w:val="000E3B27"/>
    <w:rsid w:val="00101806"/>
    <w:rsid w:val="00166056"/>
    <w:rsid w:val="0017458A"/>
    <w:rsid w:val="00193B6C"/>
    <w:rsid w:val="00196083"/>
    <w:rsid w:val="001B20ED"/>
    <w:rsid w:val="001B7F8D"/>
    <w:rsid w:val="001D6936"/>
    <w:rsid w:val="001F486F"/>
    <w:rsid w:val="00210DB0"/>
    <w:rsid w:val="00223911"/>
    <w:rsid w:val="002275BE"/>
    <w:rsid w:val="00227C5F"/>
    <w:rsid w:val="002323C5"/>
    <w:rsid w:val="00236FD2"/>
    <w:rsid w:val="002461EA"/>
    <w:rsid w:val="00285443"/>
    <w:rsid w:val="0029209F"/>
    <w:rsid w:val="0029219B"/>
    <w:rsid w:val="002A09B9"/>
    <w:rsid w:val="002F13F1"/>
    <w:rsid w:val="002F2F59"/>
    <w:rsid w:val="003027D8"/>
    <w:rsid w:val="00312E4D"/>
    <w:rsid w:val="00323B43"/>
    <w:rsid w:val="00341587"/>
    <w:rsid w:val="003444D1"/>
    <w:rsid w:val="00362759"/>
    <w:rsid w:val="0039251C"/>
    <w:rsid w:val="003929AF"/>
    <w:rsid w:val="003A13C1"/>
    <w:rsid w:val="003C74C7"/>
    <w:rsid w:val="003D37D8"/>
    <w:rsid w:val="003D5D45"/>
    <w:rsid w:val="00413C58"/>
    <w:rsid w:val="00426133"/>
    <w:rsid w:val="00430635"/>
    <w:rsid w:val="004358AB"/>
    <w:rsid w:val="004524AE"/>
    <w:rsid w:val="00467D78"/>
    <w:rsid w:val="00480DE1"/>
    <w:rsid w:val="0048102C"/>
    <w:rsid w:val="004850AE"/>
    <w:rsid w:val="00490009"/>
    <w:rsid w:val="004D06AD"/>
    <w:rsid w:val="004F5599"/>
    <w:rsid w:val="00524F88"/>
    <w:rsid w:val="00533C82"/>
    <w:rsid w:val="00573925"/>
    <w:rsid w:val="005810A3"/>
    <w:rsid w:val="005872F3"/>
    <w:rsid w:val="005C56EA"/>
    <w:rsid w:val="005D10E9"/>
    <w:rsid w:val="005F5EDB"/>
    <w:rsid w:val="006160FC"/>
    <w:rsid w:val="006318FD"/>
    <w:rsid w:val="00663221"/>
    <w:rsid w:val="006C2A7E"/>
    <w:rsid w:val="006F1908"/>
    <w:rsid w:val="006F49EA"/>
    <w:rsid w:val="006F7720"/>
    <w:rsid w:val="007066BD"/>
    <w:rsid w:val="00720798"/>
    <w:rsid w:val="00727AD4"/>
    <w:rsid w:val="007421DB"/>
    <w:rsid w:val="007A3376"/>
    <w:rsid w:val="007C66BD"/>
    <w:rsid w:val="007E78B0"/>
    <w:rsid w:val="00822050"/>
    <w:rsid w:val="008270C4"/>
    <w:rsid w:val="008368AD"/>
    <w:rsid w:val="00845F43"/>
    <w:rsid w:val="008460EA"/>
    <w:rsid w:val="00870E5E"/>
    <w:rsid w:val="008A6926"/>
    <w:rsid w:val="008B0411"/>
    <w:rsid w:val="008B7726"/>
    <w:rsid w:val="008D2A7F"/>
    <w:rsid w:val="008E4083"/>
    <w:rsid w:val="008F0703"/>
    <w:rsid w:val="009206C4"/>
    <w:rsid w:val="00921A96"/>
    <w:rsid w:val="00927C83"/>
    <w:rsid w:val="0095020D"/>
    <w:rsid w:val="00951F50"/>
    <w:rsid w:val="00954046"/>
    <w:rsid w:val="00975681"/>
    <w:rsid w:val="009A4721"/>
    <w:rsid w:val="009B11AE"/>
    <w:rsid w:val="009F3ED4"/>
    <w:rsid w:val="009F6973"/>
    <w:rsid w:val="00A01E9B"/>
    <w:rsid w:val="00A87F41"/>
    <w:rsid w:val="00A91CBD"/>
    <w:rsid w:val="00A94FB5"/>
    <w:rsid w:val="00AC61E0"/>
    <w:rsid w:val="00AD1E70"/>
    <w:rsid w:val="00AE3DA4"/>
    <w:rsid w:val="00AF2E28"/>
    <w:rsid w:val="00B7040E"/>
    <w:rsid w:val="00B76924"/>
    <w:rsid w:val="00B83551"/>
    <w:rsid w:val="00B86271"/>
    <w:rsid w:val="00B87FF1"/>
    <w:rsid w:val="00BA6299"/>
    <w:rsid w:val="00BB720F"/>
    <w:rsid w:val="00BC2918"/>
    <w:rsid w:val="00BC771F"/>
    <w:rsid w:val="00BF506A"/>
    <w:rsid w:val="00C237E2"/>
    <w:rsid w:val="00C41D55"/>
    <w:rsid w:val="00C76702"/>
    <w:rsid w:val="00C86415"/>
    <w:rsid w:val="00C8654A"/>
    <w:rsid w:val="00C956FA"/>
    <w:rsid w:val="00C96B33"/>
    <w:rsid w:val="00CB5C1F"/>
    <w:rsid w:val="00CE307F"/>
    <w:rsid w:val="00CE74F5"/>
    <w:rsid w:val="00D1221D"/>
    <w:rsid w:val="00D17B60"/>
    <w:rsid w:val="00D31D50"/>
    <w:rsid w:val="00D77C09"/>
    <w:rsid w:val="00D95DEE"/>
    <w:rsid w:val="00DA122F"/>
    <w:rsid w:val="00DC2EEB"/>
    <w:rsid w:val="00DD760F"/>
    <w:rsid w:val="00DF3995"/>
    <w:rsid w:val="00E37DCF"/>
    <w:rsid w:val="00E56FC3"/>
    <w:rsid w:val="00E6243B"/>
    <w:rsid w:val="00E66A3C"/>
    <w:rsid w:val="00E865D1"/>
    <w:rsid w:val="00EA385C"/>
    <w:rsid w:val="00EB160C"/>
    <w:rsid w:val="00EB39ED"/>
    <w:rsid w:val="00ED6CF0"/>
    <w:rsid w:val="00EF2C20"/>
    <w:rsid w:val="00F506DE"/>
    <w:rsid w:val="00F72B6E"/>
    <w:rsid w:val="00FC57AB"/>
    <w:rsid w:val="00FD3832"/>
    <w:rsid w:val="010057C6"/>
    <w:rsid w:val="01E600E0"/>
    <w:rsid w:val="03AC7183"/>
    <w:rsid w:val="04DC31E6"/>
    <w:rsid w:val="051635EF"/>
    <w:rsid w:val="052C5DF1"/>
    <w:rsid w:val="068A2AA6"/>
    <w:rsid w:val="089F5C94"/>
    <w:rsid w:val="0AD42EBA"/>
    <w:rsid w:val="0AF5235C"/>
    <w:rsid w:val="0B1539C7"/>
    <w:rsid w:val="0B402530"/>
    <w:rsid w:val="0F2F62AF"/>
    <w:rsid w:val="0F6E3CF3"/>
    <w:rsid w:val="109E16A7"/>
    <w:rsid w:val="114374FD"/>
    <w:rsid w:val="138522C4"/>
    <w:rsid w:val="13F25C62"/>
    <w:rsid w:val="155A737B"/>
    <w:rsid w:val="168F2CCE"/>
    <w:rsid w:val="19337B43"/>
    <w:rsid w:val="198D40C0"/>
    <w:rsid w:val="1A923792"/>
    <w:rsid w:val="1ACD0AF8"/>
    <w:rsid w:val="1B204567"/>
    <w:rsid w:val="1C835A21"/>
    <w:rsid w:val="1D064A65"/>
    <w:rsid w:val="1DAB2BA7"/>
    <w:rsid w:val="268A49EF"/>
    <w:rsid w:val="26C23471"/>
    <w:rsid w:val="272F2E09"/>
    <w:rsid w:val="27384E82"/>
    <w:rsid w:val="29D50BE7"/>
    <w:rsid w:val="2CAC21DC"/>
    <w:rsid w:val="2D284AE0"/>
    <w:rsid w:val="2DCF226D"/>
    <w:rsid w:val="2E4629C3"/>
    <w:rsid w:val="30E17A4F"/>
    <w:rsid w:val="318B2FFF"/>
    <w:rsid w:val="31D53880"/>
    <w:rsid w:val="31F82019"/>
    <w:rsid w:val="34F230F9"/>
    <w:rsid w:val="35502258"/>
    <w:rsid w:val="35987EC8"/>
    <w:rsid w:val="35EB40A2"/>
    <w:rsid w:val="365E03B8"/>
    <w:rsid w:val="368645B2"/>
    <w:rsid w:val="37423ADD"/>
    <w:rsid w:val="37AB6EEB"/>
    <w:rsid w:val="3A070F39"/>
    <w:rsid w:val="3A993A21"/>
    <w:rsid w:val="3BF75FD1"/>
    <w:rsid w:val="3E2F18D1"/>
    <w:rsid w:val="3E78635B"/>
    <w:rsid w:val="3E8F6090"/>
    <w:rsid w:val="3EFD64BB"/>
    <w:rsid w:val="3F213DA3"/>
    <w:rsid w:val="40823A59"/>
    <w:rsid w:val="409A0FEA"/>
    <w:rsid w:val="40CB3F56"/>
    <w:rsid w:val="412E0498"/>
    <w:rsid w:val="41EC0D1A"/>
    <w:rsid w:val="43693693"/>
    <w:rsid w:val="44D62772"/>
    <w:rsid w:val="45E61416"/>
    <w:rsid w:val="478C2362"/>
    <w:rsid w:val="47920284"/>
    <w:rsid w:val="48893C6E"/>
    <w:rsid w:val="49015CAB"/>
    <w:rsid w:val="49657045"/>
    <w:rsid w:val="4AFE10FD"/>
    <w:rsid w:val="4C7B544A"/>
    <w:rsid w:val="4C8B0933"/>
    <w:rsid w:val="4DCA77DC"/>
    <w:rsid w:val="50170360"/>
    <w:rsid w:val="5046436D"/>
    <w:rsid w:val="50871BC1"/>
    <w:rsid w:val="521722DB"/>
    <w:rsid w:val="55C317D8"/>
    <w:rsid w:val="55C36087"/>
    <w:rsid w:val="59470B16"/>
    <w:rsid w:val="59A007D8"/>
    <w:rsid w:val="59BA46B3"/>
    <w:rsid w:val="5A33362C"/>
    <w:rsid w:val="5B157914"/>
    <w:rsid w:val="5BD90935"/>
    <w:rsid w:val="5DDA5B5B"/>
    <w:rsid w:val="5DE609B6"/>
    <w:rsid w:val="5E992E0D"/>
    <w:rsid w:val="60CB6198"/>
    <w:rsid w:val="62597DED"/>
    <w:rsid w:val="628605B5"/>
    <w:rsid w:val="63492ACA"/>
    <w:rsid w:val="653475C9"/>
    <w:rsid w:val="654C23DF"/>
    <w:rsid w:val="66EC5998"/>
    <w:rsid w:val="686A1184"/>
    <w:rsid w:val="68710B90"/>
    <w:rsid w:val="69A314CB"/>
    <w:rsid w:val="69A74BFD"/>
    <w:rsid w:val="6A9476B3"/>
    <w:rsid w:val="6EB06BB1"/>
    <w:rsid w:val="700B62BA"/>
    <w:rsid w:val="71537739"/>
    <w:rsid w:val="734246E2"/>
    <w:rsid w:val="74604515"/>
    <w:rsid w:val="75156E37"/>
    <w:rsid w:val="76B917AF"/>
    <w:rsid w:val="77E03A19"/>
    <w:rsid w:val="7A5C7668"/>
    <w:rsid w:val="7A6B2982"/>
    <w:rsid w:val="7B306166"/>
    <w:rsid w:val="7B6429BB"/>
    <w:rsid w:val="7BB87587"/>
    <w:rsid w:val="7D5F442B"/>
    <w:rsid w:val="7EA431A9"/>
    <w:rsid w:val="7F79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locked/>
    <w:uiPriority w:val="99"/>
    <w:rPr>
      <w:rFonts w:ascii="Tahoma" w:hAnsi="Tahoma" w:cs="Tahoma"/>
      <w:sz w:val="18"/>
      <w:szCs w:val="18"/>
    </w:rPr>
  </w:style>
  <w:style w:type="character" w:customStyle="1" w:styleId="9">
    <w:name w:val="页脚 Char"/>
    <w:basedOn w:val="7"/>
    <w:link w:val="3"/>
    <w:locked/>
    <w:uiPriority w:val="99"/>
    <w:rPr>
      <w:rFonts w:ascii="Tahoma" w:hAnsi="Tahoma" w:cs="Tahoma"/>
      <w:sz w:val="18"/>
      <w:szCs w:val="18"/>
    </w:rPr>
  </w:style>
  <w:style w:type="character" w:customStyle="1" w:styleId="10">
    <w:name w:val="页眉 Char"/>
    <w:basedOn w:val="7"/>
    <w:link w:val="4"/>
    <w:locked/>
    <w:uiPriority w:val="99"/>
    <w:rPr>
      <w:rFonts w:ascii="Tahoma" w:hAnsi="Tahoma" w:cs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418</Words>
  <Characters>2384</Characters>
  <Lines>19</Lines>
  <Paragraphs>5</Paragraphs>
  <TotalTime>33</TotalTime>
  <ScaleCrop>false</ScaleCrop>
  <LinksUpToDate>false</LinksUpToDate>
  <CharactersWithSpaces>2797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2019-11-13T15:02:00Z</dcterms:created>
  <dc:creator>Administrator</dc:creator>
  <cp:lastModifiedBy>冬</cp:lastModifiedBy>
  <dcterms:modified xsi:type="dcterms:W3CDTF">2019-11-28T05:59:56Z</dcterms:modified>
  <dc:title>                                                                             合同编号：YNYW20191101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