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</w:rPr>
      </w:pPr>
      <w:bookmarkStart w:id="2" w:name="_GoBack"/>
      <w:bookmarkEnd w:id="2"/>
    </w:p>
    <w:p>
      <w:pPr>
        <w:rPr>
          <w:rFonts w:ascii="仿宋" w:hAnsi="仿宋" w:eastAsia="仿宋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b w:val="0"/>
          <w:bCs w:val="0"/>
          <w:sz w:val="44"/>
          <w:szCs w:val="44"/>
        </w:rPr>
      </w:pPr>
      <w:bookmarkStart w:id="0" w:name="title"/>
      <w:r>
        <w:rPr>
          <w:rFonts w:hint="eastAsia" w:ascii="方正小标宋_GBK" w:hAnsi="仿宋" w:eastAsia="方正小标宋_GBK"/>
          <w:b w:val="0"/>
          <w:bCs w:val="0"/>
          <w:sz w:val="44"/>
          <w:szCs w:val="44"/>
        </w:rPr>
        <w:t>昆明市呈贡区财政局关于对《</w:t>
      </w:r>
      <w:r>
        <w:rPr>
          <w:rFonts w:hint="eastAsia" w:ascii="方正小标宋_GBK" w:hAnsi="仿宋" w:eastAsia="方正小标宋_GBK"/>
          <w:b w:val="0"/>
          <w:bCs w:val="0"/>
          <w:sz w:val="44"/>
          <w:szCs w:val="44"/>
          <w:lang w:eastAsia="zh-CN"/>
        </w:rPr>
        <w:t>呈贡区雨花街道办事处二楼展示画面更换项目</w:t>
      </w:r>
      <w:r>
        <w:rPr>
          <w:rFonts w:ascii="方正小标宋_GBK" w:hAnsi="仿宋" w:eastAsia="方正小标宋_GBK"/>
          <w:b w:val="0"/>
          <w:bCs w:val="0"/>
          <w:sz w:val="44"/>
          <w:szCs w:val="44"/>
        </w:rPr>
        <w:t>政府购买服务计划</w:t>
      </w:r>
      <w:r>
        <w:rPr>
          <w:rFonts w:hint="eastAsia" w:ascii="方正小标宋_GBK" w:hAnsi="仿宋" w:eastAsia="方正小标宋_GBK"/>
          <w:b w:val="0"/>
          <w:bCs w:val="0"/>
          <w:sz w:val="44"/>
          <w:szCs w:val="44"/>
        </w:rPr>
        <w:t>函</w:t>
      </w:r>
      <w:r>
        <w:rPr>
          <w:rFonts w:ascii="方正小标宋_GBK" w:hAnsi="仿宋" w:eastAsia="方正小标宋_GBK"/>
          <w:b w:val="0"/>
          <w:bCs w:val="0"/>
          <w:sz w:val="44"/>
          <w:szCs w:val="44"/>
        </w:rPr>
        <w:t>》的回</w:t>
      </w:r>
      <w:r>
        <w:rPr>
          <w:rFonts w:hint="eastAsia" w:ascii="方正小标宋_GBK" w:hAnsi="仿宋" w:eastAsia="方正小标宋_GBK"/>
          <w:b w:val="0"/>
          <w:bCs w:val="0"/>
          <w:sz w:val="44"/>
          <w:szCs w:val="44"/>
        </w:rPr>
        <w:t>函</w:t>
      </w:r>
      <w:bookmarkEnd w:id="0"/>
    </w:p>
    <w:p>
      <w:pPr>
        <w:spacing w:line="560" w:lineRule="exact"/>
        <w:rPr>
          <w:rFonts w:ascii="仿宋_GB2312" w:eastAsia="仿宋_GB2312"/>
          <w:b w:val="0"/>
          <w:bCs w:val="0"/>
          <w:sz w:val="32"/>
          <w:szCs w:val="32"/>
        </w:rPr>
      </w:pPr>
      <w:bookmarkStart w:id="1" w:name="主送单位"/>
    </w:p>
    <w:bookmarkEnd w:id="1"/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昆明市呈贡区人民政府雨花街道办事处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707" w:firstLineChars="22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贵单位报来的《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呈贡区雨花街道办事处二楼展示画面更换项目</w:t>
      </w:r>
      <w:r>
        <w:rPr>
          <w:rFonts w:hint="eastAsia" w:ascii="仿宋" w:hAnsi="仿宋" w:eastAsia="仿宋" w:cs="仿宋"/>
          <w:sz w:val="32"/>
          <w:szCs w:val="32"/>
        </w:rPr>
        <w:t>政府购买服务计划的函》收悉。经研究，现函复如下：</w:t>
      </w:r>
    </w:p>
    <w:p>
      <w:pPr>
        <w:spacing w:line="560" w:lineRule="exact"/>
        <w:ind w:firstLine="707" w:firstLineChars="22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呈贡区雨花街道办事处二楼展示画面更换项目</w:t>
      </w:r>
      <w:r>
        <w:rPr>
          <w:rFonts w:hint="eastAsia" w:ascii="仿宋" w:hAnsi="仿宋" w:eastAsia="仿宋" w:cs="仿宋"/>
          <w:sz w:val="32"/>
          <w:szCs w:val="32"/>
        </w:rPr>
        <w:t>政府购买服务</w:t>
      </w:r>
      <w:r>
        <w:rPr>
          <w:rFonts w:hint="eastAsia" w:ascii="仿宋_GB2312" w:hAnsi="仿宋" w:eastAsia="仿宋_GB2312" w:cs="仿宋"/>
          <w:sz w:val="32"/>
          <w:szCs w:val="32"/>
        </w:rPr>
        <w:t>属于政府购买服务目录中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F0101</w:t>
      </w:r>
      <w:r>
        <w:rPr>
          <w:rFonts w:hint="eastAsia" w:ascii="仿宋_GB2312" w:hAnsi="仿宋_GB2312" w:eastAsia="仿宋_GB2312" w:cs="仿宋_GB2312"/>
          <w:sz w:val="32"/>
          <w:szCs w:val="32"/>
        </w:rPr>
        <w:t>,采购项目为“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其他适宜由社会力量承担的服务事项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原则同意来函中的购买服务计划和经费预算，经费从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年初预算行政办各类经费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2010399其他政府办公厅（室）及相关机构事务支出中列支1.5万元。</w:t>
      </w:r>
    </w:p>
    <w:p>
      <w:pPr>
        <w:spacing w:line="560" w:lineRule="exact"/>
        <w:ind w:firstLine="707" w:firstLineChars="221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请你局严格按照昆明市呈贡区人民政府办公室关于印发《昆明市呈贡区推进政府购买服务的实施意见（暂行）》的通知（呈政办发〔2016〕97号）相关规定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推进工作。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  <w:lang w:val="zh-CN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sz w:val="32"/>
        </w:rPr>
        <w:pict>
          <v:shape id="_x0000_s1026" o:spid="_x0000_s1026" o:spt="201" type="#_x0000_t201" style="position:absolute;left:0pt;margin-left:282pt;margin-top:5.55pt;height:128pt;width:128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</v:shape>
          <w:control r:id="rId8" w:name="Control 2" w:shapeid="_x0000_s1026"/>
        </w:pict>
      </w:r>
    </w:p>
    <w:p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昆明市呈贡区财政局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日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val="zh-CN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—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hint="eastAsia" w:ascii="仿宋_GB2312" w:eastAsia="仿宋_GB2312"/>
        <w:kern w:val="0"/>
        <w:sz w:val="28"/>
        <w:szCs w:val="28"/>
      </w:rPr>
      <w:t>1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40" w:firstLineChars="5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kern w:val="0"/>
        <w:sz w:val="28"/>
        <w:szCs w:val="28"/>
      </w:rPr>
      <w:t xml:space="preserve">— </w:t>
    </w:r>
    <w:r>
      <w:rPr>
        <w:rFonts w:hint="eastAsia" w:ascii="仿宋_GB2312" w:eastAsia="仿宋_GB2312"/>
        <w:kern w:val="0"/>
        <w:sz w:val="28"/>
        <w:szCs w:val="28"/>
      </w:rPr>
      <w:fldChar w:fldCharType="begin"/>
    </w:r>
    <w:r>
      <w:rPr>
        <w:rFonts w:hint="eastAsia" w:ascii="仿宋_GB2312" w:eastAsia="仿宋_GB2312"/>
        <w:kern w:val="0"/>
        <w:sz w:val="28"/>
        <w:szCs w:val="28"/>
      </w:rPr>
      <w:instrText xml:space="preserve"> PAGE </w:instrText>
    </w:r>
    <w:r>
      <w:rPr>
        <w:rFonts w:hint="eastAsia" w:ascii="仿宋_GB2312" w:eastAsia="仿宋_GB2312"/>
        <w:kern w:val="0"/>
        <w:sz w:val="28"/>
        <w:szCs w:val="28"/>
      </w:rPr>
      <w:fldChar w:fldCharType="separate"/>
    </w:r>
    <w:r>
      <w:rPr>
        <w:rFonts w:hint="eastAsia" w:ascii="仿宋_GB2312" w:eastAsia="仿宋_GB2312"/>
        <w:kern w:val="0"/>
        <w:sz w:val="28"/>
        <w:szCs w:val="28"/>
      </w:rPr>
      <w:t>1</w:t>
    </w:r>
    <w:r>
      <w:rPr>
        <w:rFonts w:hint="eastAsia" w:ascii="仿宋_GB2312" w:eastAsia="仿宋_GB2312"/>
        <w:kern w:val="0"/>
        <w:sz w:val="28"/>
        <w:szCs w:val="28"/>
      </w:rPr>
      <w:fldChar w:fldCharType="end"/>
    </w:r>
    <w:r>
      <w:rPr>
        <w:rFonts w:hint="eastAsia" w:ascii="仿宋_GB2312" w:eastAsia="仿宋_GB2312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77XbWAGa/JeFhTEux8Pu9ZhYbhE=" w:salt="ii65xGVLsl6cUyQbaDUAm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AFF6D6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zh-CN"/>
    </w:rPr>
  </w:style>
  <w:style w:type="character" w:customStyle="1" w:styleId="7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2019-04-26T07:41:00Z</dcterms:created>
  <dc:creator>刁攀红</dc:creator>
  <cp:lastModifiedBy>dell</cp:lastModifiedBy>
  <cp:lastPrinted>2019-09-17T07:13:00Z</cp:lastPrinted>
  <dcterms:modified xsi:type="dcterms:W3CDTF">2019-09-17T08:00:21Z</dcterms:modified>
  <dc:title>昆明市呈贡区财政局关于对《关于XXXX政府购买服务计划函》的回函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docranid">
    <vt:lpwstr>2A373430482C43DEA7F33BFF8358F072</vt:lpwstr>
  </property>
</Properties>
</file>