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 w:val="0"/>
          <w:bCs w:val="0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昆明市呈贡区财政局关于对《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  <w:lang w:eastAsia="zh-CN"/>
        </w:rPr>
        <w:t>呈贡区雨花街道办事处雨花艺术节书画比赛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呈贡区雨花街道办事处雨花艺术节书画比赛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艺术节书画比赛服务项目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A1302</w:t>
      </w:r>
      <w:r>
        <w:rPr>
          <w:rFonts w:hint="eastAsia" w:ascii="仿宋_GB2312" w:hAnsi="仿宋_GB2312" w:eastAsia="仿宋_GB2312" w:cs="仿宋_GB2312"/>
          <w:sz w:val="32"/>
          <w:szCs w:val="32"/>
        </w:rPr>
        <w:t>,采购项目为“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公益性文化活动的组织与承办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区文旅局补助资金</w:t>
      </w:r>
      <w:r>
        <w:rPr>
          <w:rFonts w:hint="eastAsia" w:ascii="仿宋" w:hAnsi="仿宋" w:eastAsia="仿宋" w:cs="仿宋"/>
          <w:sz w:val="32"/>
          <w:szCs w:val="32"/>
        </w:rPr>
        <w:t>中列支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7.8万元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85.75pt;margin-top:13.3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drzBiMqrrEF/3aRiyUgu63gCVk=" w:salt="lZ6relGBspKhkc0iKfKBV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F272B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2019-09-17T06:00:00Z</cp:lastPrinted>
  <dcterms:modified xsi:type="dcterms:W3CDTF">2019-09-17T07:58:57Z</dcterms:modified>
  <dc:title>昆明市呈贡区财政局关于对《关于XXXX政府购买服务计划函》的回函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5F540513C3F845DBB8BD544BB3F10A2E</vt:lpwstr>
  </property>
</Properties>
</file>