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呈贡67号路</w:t>
      </w:r>
      <w:r>
        <w:rPr>
          <w:rFonts w:ascii="方正小标宋_GBK" w:eastAsia="方正小标宋_GBK"/>
          <w:sz w:val="44"/>
          <w:szCs w:val="44"/>
        </w:rPr>
        <w:t>项目支出绩效评价报告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pStyle w:val="6"/>
        <w:numPr>
          <w:ilvl w:val="0"/>
          <w:numId w:val="1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项目基本情况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（一）项目概况。</w:t>
      </w:r>
    </w:p>
    <w:p>
      <w:pPr>
        <w:spacing w:line="50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项目位于昆明市呈贡区，是现状“呈荣大道”的延伸，道路始于现状“呈荣大道”与东盟森林内规划道路的平交口，之后向西南延伸，上跨昆玉高速，下穿地铁1号线高架桥，至于彩云北路。道路全长 719.315米，道路等级为城市主干路，红线宽度为 60 米，双向8车道，设计时速为 60Km/h。投资概算22108.45万元。本项目概算总投资为：22108.45万元，其中工程建安费用为15191.77万元，工程建设其他费用为5863.90万元，工程预备费为1052.7 8万元。</w:t>
      </w:r>
    </w:p>
    <w:p>
      <w:pPr>
        <w:spacing w:line="500" w:lineRule="exact"/>
        <w:ind w:left="643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（二）项目绩效目标。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项目绩效总目标：本项目的建设是对呈贡新区城市道路网基础设施建设的完善，是连接经开区“王家营现代物流园”与呈贡新区的主要道路；提升其货物运载效率的重要通道，也是满足“东盟森林”项目内部及周边居民出行需要的举措，有利于营造良好的交通环境和人居环境，促进区域经济的发展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2.项目绩效阶段性目标：2018年4月底试通车。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二、项目单位绩效报告情况。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通过组织开展项目绩效评价，保证项目资金使用管理的规范性、安全性和有效性。</w:t>
      </w:r>
      <w:r>
        <w:rPr>
          <w:rFonts w:hint="eastAsia" w:ascii="仿宋" w:hAnsi="仿宋" w:eastAsia="仿宋" w:cs="仿宋"/>
          <w:bCs/>
          <w:sz w:val="32"/>
          <w:szCs w:val="32"/>
        </w:rPr>
        <w:t>结合项目实际，当年支出超出100万元，项目如实申报绩效。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三、绩效评价工作情况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（一）绩效评价目的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严格控制投资，确保资金合理使用和资金使用安全；强化资金支付管理、项目成本管理和财务管理制度；加强项目管理，确保项目建设取得更好经济、政治、社会效益。更好地发挥其扶持政策和引导作用，加强财政资金管理，优化财政支出结构，提高资金使用效益和公共管理水平。</w:t>
      </w:r>
    </w:p>
    <w:p>
      <w:pPr>
        <w:spacing w:line="5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（二）绩效评价原则、评价指标体系、评价方法。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绩效评价原则：同一尺度、同一标准下，坚持公开、公正、公平的原则。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评价工作分定量评价和定性评价两个步骤：定量评价以评价客体提供的相关资料为基础，经过认真审查和核对，测出定量评价结果。</w:t>
      </w:r>
    </w:p>
    <w:p>
      <w:pPr>
        <w:numPr>
          <w:ilvl w:val="0"/>
          <w:numId w:val="2"/>
        </w:numPr>
        <w:spacing w:line="5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绩效评价工作过程。</w:t>
      </w:r>
    </w:p>
    <w:p>
      <w:pPr>
        <w:spacing w:line="500" w:lineRule="exact"/>
        <w:ind w:firstLine="66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1、前期准备：我们于2019年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2月25日上报2018年度《项目评价计划表》，3月初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收到绩效评价相关文件要求后，单位领导及时做了安排，梳理项目支出基本情况；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确定自评项目，根据项目基本情况收集资料、汇总数据，制定评价方案，制定评价指标体系，完善评价指标体系。</w:t>
      </w:r>
    </w:p>
    <w:p>
      <w:pPr>
        <w:spacing w:line="500" w:lineRule="exact"/>
        <w:ind w:firstLine="660" w:firstLineChars="200"/>
        <w:rPr>
          <w:rFonts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组织实施：为使绩效评价工作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顺利开展，在2019年3月成立由局长任组长绩效评价工作组，负责绩效评价的组织和实施工作作。</w:t>
      </w:r>
    </w:p>
    <w:p>
      <w:pPr>
        <w:spacing w:line="500" w:lineRule="exact"/>
        <w:ind w:firstLine="66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.分析评价：</w:t>
      </w:r>
      <w:r>
        <w:rPr>
          <w:rFonts w:hint="eastAsia" w:ascii="仿宋" w:hAnsi="仿宋" w:eastAsia="仿宋" w:cs="仿宋"/>
          <w:spacing w:val="5"/>
          <w:sz w:val="32"/>
          <w:szCs w:val="32"/>
        </w:rPr>
        <w:t>3月15日至4月3日，各部门、各项目先结合要求进行摸底准备；4月4日召开专题会议集中安排布置本次财政支出自评工作，并提出工作要求，各事业单位、各自评项目于4月15日前上报自评情况；4月15日至4月20日由局评价工作小组进行核实、分析，对绩效完成情况进行综合分析、打分、形成评价结论</w:t>
      </w:r>
      <w:r>
        <w:rPr>
          <w:rFonts w:hint="eastAsia" w:ascii="仿宋" w:hAnsi="仿宋" w:eastAsia="仿宋"/>
          <w:szCs w:val="32"/>
        </w:rPr>
        <w:t>。</w:t>
      </w:r>
    </w:p>
    <w:p>
      <w:pPr>
        <w:spacing w:line="50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四、绩效评价指标分析情况</w:t>
      </w:r>
    </w:p>
    <w:p>
      <w:pPr>
        <w:spacing w:line="500" w:lineRule="exact"/>
        <w:ind w:firstLine="643" w:firstLineChars="200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（一）项目资金情况分析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累计到位为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15271.9万元，明细如下</w:t>
      </w:r>
      <w:r>
        <w:rPr>
          <w:rFonts w:hint="eastAsia" w:ascii="仿宋" w:hAnsi="仿宋" w:eastAsia="仿宋" w:cs="仿宋"/>
          <w:sz w:val="32"/>
          <w:szCs w:val="32"/>
        </w:rPr>
        <w:t>：2016年安排财政资金6000万元，2017年预算安排3128万元、发改专项资金1872万元，共5000万元。2017年11月上缴存量资金879万元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2018年8月财政拨款4651万元。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2.项目资金使用情况分析：</w:t>
      </w:r>
      <w:r>
        <w:rPr>
          <w:rFonts w:ascii="仿宋" w:hAnsi="仿宋" w:eastAsia="仿宋" w:cs="仿宋"/>
          <w:sz w:val="32"/>
          <w:szCs w:val="32"/>
        </w:rPr>
        <w:t>2016年支付土地征拆费2000万元，2017年支付工程进度款、监理费及前期费用3264.46万元，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2018年支付工程款、监理费等费用9507万元。</w:t>
      </w:r>
    </w:p>
    <w:p>
      <w:pPr>
        <w:spacing w:line="500" w:lineRule="exact"/>
        <w:ind w:firstLine="643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项目资金管理情况</w:t>
      </w:r>
      <w:r>
        <w:rPr>
          <w:rFonts w:hint="eastAsia" w:ascii="仿宋" w:hAnsi="仿宋" w:eastAsia="仿宋" w:cs="仿宋"/>
          <w:sz w:val="32"/>
          <w:szCs w:val="32"/>
        </w:rPr>
        <w:t>：项目资金来源区财政拨款。项目工作资金使用严格履行审批程序，施工方报进度完成量，监理和造价核实量和价后按不超70%支付。资金拨付严格执行合同条款，规范管理，精准核算，确实反应各项工作支出情况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（二）项目实施情况分析。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1、项目组织情况分析：按照区政府《关于2015年道路建设和2015年道路综合整治工作责任分解的通知》（呈新综办通〔2015〕107号）的的要求，我局负责呈贡67号路（呈荣大道）建设工作。至今，我局于2015年6月取得《关于同意呈贡67号市政道路建设项目开展前期工作的函》（呈发改函〔2015〕10号）；2015年12月取得《关于呈贡67（呈荣大道）市政道路建设项目可行性研究报告的批复》（呈发改复〔2015〕35号）；2016年3月取得《昆明市呈贡区水务局关于准予呈贡67（呈荣大道）市政道路建设项目水土保持方案的行政许可决定书》（呈水许可准〔2016〕2号）；2016年4月取得《关于对&lt;呈贡67号（呈荣大道）市政道路建设环境影响报告书&gt;的批复》（呈环保复〔2016〕17号）；2016年取得《关于呈贡67号呈荣大道市政道路建设项目初步设计的批复》（呈新管复〔2016〕10号）。目前已支付征地费2000万元，前期手续、报建、办证支付250万元。2018年计划投资7000万元。本项目由于上跨昆玉高速、彩云路平交路口作业等原因，原订于2018年10月底通车的时间将后推，现已正在进行桥面沥青面铺设收尾工序，于2019年4月底试通车。项目按基本建设程序组织开展工作。</w:t>
      </w:r>
    </w:p>
    <w:p>
      <w:pPr>
        <w:spacing w:line="500" w:lineRule="exact"/>
        <w:ind w:firstLine="643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项目管理情况分析：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住建局成立了以张毅副局长为组长的领导小组，成员有：王彦春（现场管理、协调）、张钰群（工程资料管理）、傅红惠（工程资金的财务管理）。</w:t>
      </w:r>
      <w:r>
        <w:rPr>
          <w:rFonts w:hint="eastAsia" w:ascii="仿宋" w:hAnsi="仿宋" w:eastAsia="仿宋" w:cs="仿宋"/>
          <w:sz w:val="32"/>
          <w:szCs w:val="32"/>
        </w:rPr>
        <w:t>确定项目负责人，统一组织协调本项目建设；负责起草计划，总结，会议纪要等文书和档案管理；组织完善各类审批事项及手续，定期召开工作例会，及时协调解决工作中出现的问题。</w:t>
      </w:r>
    </w:p>
    <w:p>
      <w:pPr>
        <w:spacing w:line="500" w:lineRule="exact"/>
        <w:outlineLvl w:val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（三）项目绩效情况分析</w:t>
      </w:r>
    </w:p>
    <w:p>
      <w:pPr>
        <w:spacing w:line="50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1.项目经济性分析：通过项目招投标选择了设计和监理单位，并通过招投标的方式选择造价咨询服务单位进行成本核算，控制项目成本，节约资金。</w:t>
      </w:r>
    </w:p>
    <w:p>
      <w:pPr>
        <w:spacing w:line="50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2.项目的效率性分析：67号路现已正在进行桥梁浇注式沥青收尾工序。预计2019年4月底可正式通车。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的效益性分析：项目预期目标完成情况基本良好，前期由于拆迁管线和征地工作，推进有所延时。项目建成将有利于营造良好的交通环境和人居环境，促进区域经济的发展。项目建设将最大程度的满足片区交通量的需求，改善片区生活配套，提升区域价值，将构建良好的道路生态廊道，能够较好的实现局部区域之间能源流、信息流的交流，有利于营造良好的交通环境和人居环境，促进区域经济发展，项目建设具有良好的社会效益和经济效益。</w:t>
      </w:r>
    </w:p>
    <w:p>
      <w:pPr>
        <w:numPr>
          <w:ilvl w:val="0"/>
          <w:numId w:val="3"/>
        </w:numPr>
        <w:spacing w:line="5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综合评价情况及评价结论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经按“财政支出绩效评价指标体系”进行综合评价，本项目综合得分9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分，评价等次为“优”。各项评分结果见“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项目支出绩效自评指标评分表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numPr>
          <w:ilvl w:val="0"/>
          <w:numId w:val="3"/>
        </w:numPr>
        <w:spacing w:line="5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绩效评价结果应用建议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以后年度预算资金安排依据、评价结果公开，促进项目管理、单位管理。</w:t>
      </w:r>
    </w:p>
    <w:p>
      <w:pPr>
        <w:numPr>
          <w:ilvl w:val="0"/>
          <w:numId w:val="3"/>
        </w:numPr>
        <w:spacing w:line="5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主要经验及做法、存在的问题和建议。无</w:t>
      </w:r>
    </w:p>
    <w:p>
      <w:pPr>
        <w:spacing w:line="5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八、其他需说明的问题。</w:t>
      </w:r>
      <w:r>
        <w:rPr>
          <w:rFonts w:hint="eastAsia" w:ascii="仿宋" w:hAnsi="仿宋" w:eastAsia="仿宋" w:cs="仿宋"/>
          <w:sz w:val="32"/>
          <w:szCs w:val="32"/>
        </w:rPr>
        <w:t>无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633B2"/>
    <w:multiLevelType w:val="multilevel"/>
    <w:tmpl w:val="446633B2"/>
    <w:lvl w:ilvl="0" w:tentative="0">
      <w:start w:val="1"/>
      <w:numFmt w:val="japaneseCounting"/>
      <w:lvlText w:val="%1、"/>
      <w:lvlJc w:val="left"/>
      <w:pPr>
        <w:ind w:left="1318" w:hanging="6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8D8D079"/>
    <w:multiLevelType w:val="singleLevel"/>
    <w:tmpl w:val="58D8D079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58E44CAA"/>
    <w:multiLevelType w:val="singleLevel"/>
    <w:tmpl w:val="58E44CA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8EC"/>
    <w:rsid w:val="00051654"/>
    <w:rsid w:val="001C4906"/>
    <w:rsid w:val="00214735"/>
    <w:rsid w:val="00386F30"/>
    <w:rsid w:val="003A5FC6"/>
    <w:rsid w:val="003E7AE6"/>
    <w:rsid w:val="00410494"/>
    <w:rsid w:val="005F0F6B"/>
    <w:rsid w:val="00733317"/>
    <w:rsid w:val="008F5CC6"/>
    <w:rsid w:val="0094181E"/>
    <w:rsid w:val="00B020E9"/>
    <w:rsid w:val="00B67201"/>
    <w:rsid w:val="00C27710"/>
    <w:rsid w:val="00FA4F5E"/>
    <w:rsid w:val="00FB18EC"/>
    <w:rsid w:val="0317350E"/>
    <w:rsid w:val="03814F93"/>
    <w:rsid w:val="0460371E"/>
    <w:rsid w:val="07474E74"/>
    <w:rsid w:val="08E91793"/>
    <w:rsid w:val="08FA56E9"/>
    <w:rsid w:val="11074E23"/>
    <w:rsid w:val="12D61215"/>
    <w:rsid w:val="1A0C3710"/>
    <w:rsid w:val="1B4111D0"/>
    <w:rsid w:val="1CE84CDA"/>
    <w:rsid w:val="22EA535D"/>
    <w:rsid w:val="23EE73D7"/>
    <w:rsid w:val="29400567"/>
    <w:rsid w:val="2B9F53E0"/>
    <w:rsid w:val="2F591AC1"/>
    <w:rsid w:val="30B425B7"/>
    <w:rsid w:val="31A81F36"/>
    <w:rsid w:val="337C11FF"/>
    <w:rsid w:val="34363413"/>
    <w:rsid w:val="36165FFF"/>
    <w:rsid w:val="3B240834"/>
    <w:rsid w:val="40EC4984"/>
    <w:rsid w:val="43667F1A"/>
    <w:rsid w:val="478948D7"/>
    <w:rsid w:val="49F70BA9"/>
    <w:rsid w:val="4EA65C40"/>
    <w:rsid w:val="531B7225"/>
    <w:rsid w:val="5906636D"/>
    <w:rsid w:val="591E534A"/>
    <w:rsid w:val="59FE0ED4"/>
    <w:rsid w:val="5B17797F"/>
    <w:rsid w:val="5BC63E39"/>
    <w:rsid w:val="60C0388A"/>
    <w:rsid w:val="64247A95"/>
    <w:rsid w:val="6C5E3D48"/>
    <w:rsid w:val="76A80905"/>
    <w:rsid w:val="7C9A2151"/>
    <w:rsid w:val="7E4F6CA4"/>
    <w:rsid w:val="7FC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393</Words>
  <Characters>2242</Characters>
  <Lines>18</Lines>
  <Paragraphs>5</Paragraphs>
  <TotalTime>29</TotalTime>
  <ScaleCrop>false</ScaleCrop>
  <LinksUpToDate>false</LinksUpToDate>
  <CharactersWithSpaces>2630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2018-04-28T08:36:00Z</dcterms:created>
  <dc:creator>pc</dc:creator>
  <cp:lastModifiedBy>hp</cp:lastModifiedBy>
  <cp:lastPrinted>2019-03-22T06:14:00Z</cp:lastPrinted>
  <dcterms:modified xsi:type="dcterms:W3CDTF">2019-03-22T08:47:48Z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