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4.0.0 -->
  <w:body>
    <w:p>
      <w:pPr>
        <w:rPr>
          <w:rFonts w:ascii="仿宋" w:eastAsia="仿宋" w:hAnsi="仿宋"/>
        </w:rPr>
      </w:pPr>
      <w:bookmarkStart w:id="0" w:name="_GoBack"/>
      <w:bookmarkEnd w:id="0"/>
    </w:p>
    <w:p>
      <w:pPr>
        <w:rPr>
          <w:rFonts w:ascii="仿宋" w:eastAsia="仿宋" w:hAnsi="仿宋"/>
        </w:rPr>
      </w:pPr>
    </w:p>
    <w:p>
      <w:pPr>
        <w:spacing w:line="560" w:lineRule="exact"/>
        <w:jc w:val="center"/>
        <w:rPr>
          <w:rFonts w:ascii="方正小标宋_GBK" w:eastAsia="方正小标宋_GBK" w:hAnsi="仿宋"/>
          <w:sz w:val="44"/>
          <w:szCs w:val="44"/>
        </w:rPr>
      </w:pPr>
      <w:bookmarkStart w:id="1" w:name="title"/>
      <w:r>
        <w:rPr>
          <w:rFonts w:ascii="方正小标宋_GBK" w:eastAsia="方正小标宋_GBK" w:hAnsi="仿宋" w:hint="eastAsia"/>
          <w:sz w:val="44"/>
          <w:szCs w:val="44"/>
        </w:rPr>
        <w:t>昆明市呈贡区财政局关于对《</w:t>
      </w:r>
      <w:r>
        <w:rPr>
          <w:rFonts w:ascii="方正小标宋_GBK" w:eastAsia="方正小标宋_GBK" w:hAnsi="仿宋" w:hint="eastAsia"/>
          <w:sz w:val="44"/>
          <w:szCs w:val="44"/>
          <w:lang w:eastAsia="zh-CN"/>
        </w:rPr>
        <w:t>昆明市公安局呈贡分局关于文明交通劝导员参与文明交通劝导服务项目政府</w:t>
      </w:r>
      <w:r>
        <w:rPr>
          <w:rFonts w:ascii="方正小标宋_GBK" w:eastAsia="方正小标宋_GBK" w:hAnsi="仿宋" w:hint="eastAsia"/>
          <w:sz w:val="44"/>
          <w:szCs w:val="44"/>
        </w:rPr>
        <w:t>购买服务计划》的回函</w:t>
      </w:r>
      <w:bookmarkEnd w:id="1"/>
    </w:p>
    <w:p>
      <w:pPr>
        <w:spacing w:line="560" w:lineRule="exact"/>
        <w:rPr>
          <w:rFonts w:ascii="仿宋_GB2312" w:eastAsia="仿宋_GB2312"/>
          <w:sz w:val="32"/>
          <w:szCs w:val="32"/>
        </w:rPr>
      </w:pPr>
      <w:bookmarkStart w:id="2" w:name="主送单位"/>
    </w:p>
    <w:p>
      <w:pPr>
        <w:spacing w:line="560" w:lineRule="exact"/>
        <w:rPr>
          <w:rFonts w:ascii="仿宋_GB2312" w:eastAsia="仿宋_GB2312" w:hAnsi="仿宋" w:cs="仿宋"/>
          <w:sz w:val="32"/>
          <w:szCs w:val="32"/>
        </w:rPr>
      </w:pPr>
      <w:bookmarkEnd w:id="2"/>
      <w:r>
        <w:rPr>
          <w:rFonts w:ascii="仿宋_GB2312" w:eastAsia="仿宋_GB2312" w:hAnsi="仿宋" w:cs="仿宋" w:hint="eastAsia"/>
          <w:sz w:val="32"/>
          <w:szCs w:val="32"/>
          <w:lang w:eastAsia="zh-CN"/>
        </w:rPr>
        <w:t>昆明市公安局呈贡区分局</w:t>
      </w:r>
      <w:r>
        <w:rPr>
          <w:rFonts w:ascii="仿宋_GB2312" w:eastAsia="仿宋_GB2312" w:hAnsi="仿宋" w:cs="仿宋" w:hint="eastAsia"/>
          <w:sz w:val="32"/>
          <w:szCs w:val="32"/>
        </w:rPr>
        <w:t>：</w:t>
      </w:r>
    </w:p>
    <w:p>
      <w:pPr>
        <w:spacing w:line="560" w:lineRule="exact"/>
        <w:ind w:firstLine="464" w:firstLineChars="221"/>
        <w:rPr>
          <w:rFonts w:ascii="仿宋" w:eastAsia="仿宋" w:hAnsi="仿宋" w:cs="仿宋" w:hint="eastAsia"/>
          <w:sz w:val="32"/>
          <w:szCs w:val="32"/>
        </w:rPr>
      </w:pPr>
      <w:r>
        <w:rPr>
          <w:rFonts w:ascii="仿宋" w:eastAsia="仿宋" w:hAnsi="仿宋" w:cs="仿宋" w:hint="eastAsia"/>
          <w:sz w:val="32"/>
          <w:szCs w:val="32"/>
        </w:rPr>
        <w:t>贵单位报来的《</w:t>
      </w:r>
      <w:r>
        <w:rPr>
          <w:rFonts w:ascii="仿宋" w:eastAsia="仿宋" w:hAnsi="仿宋" w:cs="仿宋" w:hint="eastAsia"/>
          <w:sz w:val="32"/>
          <w:szCs w:val="32"/>
          <w:lang w:eastAsia="zh-CN"/>
        </w:rPr>
        <w:t>昆明市公安局呈贡分局关于文明交通劝导员参与文明交通劝导服务项目政府</w:t>
      </w:r>
      <w:r>
        <w:rPr>
          <w:rFonts w:ascii="仿宋" w:eastAsia="仿宋" w:hAnsi="仿宋" w:cs="仿宋" w:hint="eastAsia"/>
          <w:sz w:val="32"/>
          <w:szCs w:val="32"/>
        </w:rPr>
        <w:t>购买服务计划》</w:t>
      </w:r>
      <w:r>
        <w:rPr>
          <w:rFonts w:ascii="仿宋" w:eastAsia="仿宋" w:hAnsi="仿宋" w:cs="仿宋" w:hint="eastAsia"/>
          <w:sz w:val="32"/>
          <w:szCs w:val="32"/>
          <w:lang w:eastAsia="zh-CN"/>
        </w:rPr>
        <w:t>已</w:t>
      </w:r>
      <w:r>
        <w:rPr>
          <w:rFonts w:ascii="仿宋" w:eastAsia="仿宋" w:hAnsi="仿宋" w:cs="仿宋" w:hint="eastAsia"/>
          <w:sz w:val="32"/>
          <w:szCs w:val="32"/>
        </w:rPr>
        <w:t>收悉。经研究，现函复如下：</w:t>
      </w:r>
    </w:p>
    <w:p>
      <w:pPr>
        <w:spacing w:line="560" w:lineRule="exact"/>
        <w:ind w:firstLine="464" w:firstLineChars="221"/>
        <w:rPr>
          <w:rFonts w:ascii="仿宋" w:eastAsia="仿宋" w:hAnsi="仿宋" w:cs="仿宋"/>
          <w:sz w:val="32"/>
          <w:szCs w:val="32"/>
          <w:lang w:val="zh-CN"/>
        </w:rPr>
      </w:pPr>
      <w:r>
        <w:rPr>
          <w:rFonts w:ascii="仿宋" w:eastAsia="仿宋" w:hAnsi="仿宋" w:cs="仿宋" w:hint="eastAsia"/>
          <w:sz w:val="32"/>
          <w:szCs w:val="32"/>
          <w:lang w:eastAsia="zh-CN"/>
        </w:rPr>
        <w:t>文明交通劝导员参与文明交通劝导服务</w:t>
      </w:r>
      <w:r>
        <w:rPr>
          <w:rFonts w:ascii="仿宋_GB2312" w:eastAsia="仿宋_GB2312" w:hAnsi="仿宋" w:cs="仿宋" w:hint="eastAsia"/>
          <w:sz w:val="32"/>
          <w:szCs w:val="32"/>
          <w:lang w:eastAsia="zh-CN"/>
        </w:rPr>
        <w:t>属于政府购买服务目录中基本公共服务下的公共安全中交通安全辅助服务</w:t>
      </w:r>
      <w:r>
        <w:rPr>
          <w:rFonts w:ascii="仿宋_GB2312" w:eastAsia="仿宋_GB2312" w:hAnsi="仿宋" w:cs="仿宋" w:hint="eastAsia"/>
          <w:sz w:val="32"/>
          <w:szCs w:val="32"/>
          <w:lang w:val="en-US" w:eastAsia="zh-CN"/>
        </w:rPr>
        <w:t>，</w:t>
      </w:r>
      <w:r>
        <w:rPr>
          <w:rFonts w:ascii="仿宋_GB2312" w:eastAsia="仿宋_GB2312" w:hAnsi="仿宋" w:cs="仿宋" w:hint="eastAsia"/>
          <w:sz w:val="32"/>
          <w:szCs w:val="32"/>
        </w:rPr>
        <w:t>原则</w:t>
      </w:r>
      <w:r>
        <w:rPr>
          <w:rFonts w:ascii="仿宋_GB2312" w:eastAsia="仿宋_GB2312" w:hAnsi="仿宋" w:cs="仿宋" w:hint="eastAsia"/>
          <w:sz w:val="32"/>
          <w:szCs w:val="32"/>
          <w:lang w:eastAsia="zh-CN"/>
        </w:rPr>
        <w:t>上</w:t>
      </w:r>
      <w:r>
        <w:rPr>
          <w:rFonts w:ascii="仿宋_GB2312" w:eastAsia="仿宋_GB2312" w:hAnsi="仿宋" w:cs="仿宋" w:hint="eastAsia"/>
          <w:sz w:val="32"/>
          <w:szCs w:val="32"/>
        </w:rPr>
        <w:t>同意来函中的购买服务计划和经费预算</w:t>
      </w:r>
      <w:r>
        <w:rPr>
          <w:rFonts w:ascii="仿宋_GB2312" w:eastAsia="仿宋_GB2312" w:hAnsi="仿宋" w:cs="仿宋" w:hint="eastAsia"/>
          <w:sz w:val="32"/>
          <w:szCs w:val="32"/>
          <w:lang w:eastAsia="zh-CN"/>
        </w:rPr>
        <w:t>。</w:t>
      </w:r>
      <w:r>
        <w:rPr>
          <w:rFonts w:ascii="仿宋_GB2312" w:eastAsia="仿宋_GB2312" w:hAnsi="仿宋" w:cs="仿宋" w:hint="eastAsia"/>
          <w:sz w:val="32"/>
          <w:szCs w:val="32"/>
        </w:rPr>
        <w:t>经费从</w:t>
      </w:r>
      <w:r>
        <w:rPr>
          <w:rFonts w:ascii="仿宋_GB2312" w:eastAsia="仿宋_GB2312" w:hAnsi="仿宋" w:cs="仿宋"/>
          <w:sz w:val="32"/>
          <w:szCs w:val="32"/>
        </w:rPr>
        <w:t>2019</w:t>
      </w:r>
      <w:r>
        <w:rPr>
          <w:rFonts w:ascii="仿宋_GB2312" w:eastAsia="仿宋_GB2312" w:hAnsi="仿宋" w:cs="仿宋" w:hint="eastAsia"/>
          <w:sz w:val="32"/>
          <w:szCs w:val="32"/>
        </w:rPr>
        <w:t>年</w:t>
      </w:r>
      <w:r>
        <w:rPr>
          <w:rFonts w:ascii="仿宋_GB2312" w:eastAsia="仿宋_GB2312" w:hAnsi="仿宋" w:cs="仿宋" w:hint="eastAsia"/>
          <w:sz w:val="32"/>
          <w:szCs w:val="32"/>
          <w:lang w:eastAsia="zh-CN"/>
        </w:rPr>
        <w:t>预算项目</w:t>
      </w:r>
      <w:r>
        <w:rPr>
          <w:rFonts w:ascii="仿宋_GB2312" w:eastAsia="仿宋_GB2312" w:hAnsi="仿宋" w:cs="仿宋" w:hint="eastAsia"/>
          <w:sz w:val="32"/>
          <w:szCs w:val="32"/>
        </w:rPr>
        <w:t>“2019年创文长效机制工作经费</w:t>
      </w:r>
      <w:r>
        <w:rPr>
          <w:rFonts w:ascii="仿宋_GB2312" w:eastAsia="仿宋_GB2312" w:hAnsi="仿宋" w:cs="仿宋" w:hint="eastAsia"/>
          <w:sz w:val="32"/>
          <w:szCs w:val="32"/>
          <w:lang w:val="en-US" w:eastAsia="zh-CN"/>
        </w:rPr>
        <w:t>2040299</w:t>
      </w:r>
      <w:r>
        <w:rPr>
          <w:rFonts w:ascii="仿宋_GB2312" w:eastAsia="仿宋_GB2312" w:hAnsi="仿宋" w:cs="仿宋"/>
          <w:sz w:val="32"/>
          <w:szCs w:val="32"/>
        </w:rPr>
        <w:t>—</w:t>
      </w:r>
      <w:r>
        <w:rPr>
          <w:rFonts w:ascii="仿宋_GB2312" w:eastAsia="仿宋_GB2312" w:hAnsi="仿宋" w:cs="仿宋" w:hint="eastAsia"/>
          <w:sz w:val="32"/>
          <w:szCs w:val="32"/>
        </w:rPr>
        <w:t>其他公安支出”中列支。请你局严格按照昆明市呈贡区人民政府办公室关于印发《昆明市呈贡区推进政府购买服务的实施意见（暂行）》的通知（呈政办发〔</w:t>
      </w:r>
      <w:r>
        <w:rPr>
          <w:rFonts w:ascii="仿宋_GB2312" w:eastAsia="仿宋_GB2312" w:hAnsi="仿宋" w:cs="仿宋"/>
          <w:sz w:val="32"/>
          <w:szCs w:val="32"/>
        </w:rPr>
        <w:t>2016</w:t>
      </w:r>
      <w:r>
        <w:rPr>
          <w:rFonts w:ascii="仿宋_GB2312" w:eastAsia="仿宋_GB2312" w:hAnsi="仿宋" w:cs="仿宋" w:hint="eastAsia"/>
          <w:sz w:val="32"/>
          <w:szCs w:val="32"/>
        </w:rPr>
        <w:t>〕</w:t>
      </w:r>
      <w:r>
        <w:rPr>
          <w:rFonts w:ascii="仿宋_GB2312" w:eastAsia="仿宋_GB2312" w:hAnsi="仿宋" w:cs="仿宋"/>
          <w:sz w:val="32"/>
          <w:szCs w:val="32"/>
        </w:rPr>
        <w:t>97</w:t>
      </w:r>
      <w:r>
        <w:rPr>
          <w:rFonts w:ascii="仿宋_GB2312" w:eastAsia="仿宋_GB2312" w:hAnsi="仿宋" w:cs="仿宋" w:hint="eastAsia"/>
          <w:sz w:val="32"/>
          <w:szCs w:val="32"/>
        </w:rPr>
        <w:t>号）相关规定</w:t>
      </w:r>
      <w:r>
        <w:rPr>
          <w:rFonts w:ascii="仿宋_GB2312" w:eastAsia="仿宋_GB2312" w:hAnsi="仿宋" w:cs="仿宋" w:hint="eastAsia"/>
          <w:sz w:val="32"/>
          <w:szCs w:val="32"/>
          <w:lang w:val="zh-CN"/>
        </w:rPr>
        <w:t>推进工作</w:t>
      </w:r>
      <w:r>
        <w:rPr>
          <w:rFonts w:ascii="仿宋" w:eastAsia="仿宋" w:hAnsi="仿宋" w:cs="仿宋" w:hint="eastAsia"/>
          <w:sz w:val="32"/>
          <w:szCs w:val="32"/>
          <w:lang w:val="zh-CN"/>
        </w:rPr>
        <w:t>。</w:t>
      </w:r>
    </w:p>
    <w:p>
      <w:pPr>
        <w:spacing w:line="560" w:lineRule="exact"/>
        <w:rPr>
          <w:rFonts w:ascii="仿宋" w:eastAsia="仿宋" w:hAnsi="仿宋" w:cs="仿宋"/>
          <w:sz w:val="32"/>
          <w:szCs w:val="32"/>
          <w:lang w:val="zh-CN"/>
        </w:rPr>
      </w:pPr>
      <w:r>
        <w:rPr>
          <w:sz w:val="32"/>
        </w:rPr>
        <w:pict>
          <v:shapetype id="_x0000_t201" coordsize="21600,21600" o:spt="201" path="m,l,21600r21600,l21600,xe">
            <v:stroke joinstyle="miter"/>
            <v:path shadowok="f" o:extrusionok="f" strokeok="f" fillok="f" o:connecttype="rect"/>
            <o:lock v:ext="edit" shapetype="t"/>
          </v:shapetype>
          <v:shape id="_x0000_s1026" o:spid="_x0000_s1025" type="#_x0000_t201" style="height:128pt;margin-left:279pt;margin-top:26.3pt;mso-height-relative:page;mso-width-relative:page;position:absolute;width:128pt;z-index:251658240" o:oleicon="f" coordsize="21600,21600" o:preferrelative="t" filled="f" stroked="f">
            <v:imagedata r:id="rId5" o:title=""/>
            <o:lock v:ext="edit" aspectratio="f"/>
          </v:shape>
          <w:control r:id="rId6" w:name="Control 2" w:shapeid="_x0000_s1025"/>
        </w:pict>
      </w:r>
    </w:p>
    <w:p>
      <w:pPr>
        <w:wordWrap w:val="0"/>
        <w:spacing w:line="560" w:lineRule="exact"/>
        <w:jc w:val="right"/>
        <w:rPr>
          <w:rFonts w:ascii="仿宋" w:eastAsia="仿宋" w:hAnsi="仿宋" w:cs="仿宋"/>
          <w:sz w:val="32"/>
          <w:szCs w:val="32"/>
        </w:rPr>
      </w:pPr>
      <w:r>
        <w:rPr>
          <w:rFonts w:ascii="仿宋" w:eastAsia="仿宋" w:hAnsi="仿宋" w:cs="仿宋"/>
          <w:sz w:val="32"/>
          <w:szCs w:val="32"/>
          <w:lang w:val="zh-CN"/>
        </w:rPr>
        <w:t xml:space="preserve"> </w:t>
      </w:r>
    </w:p>
    <w:p>
      <w:pPr>
        <w:spacing w:line="560" w:lineRule="exact"/>
        <w:jc w:val="right"/>
        <w:rPr>
          <w:rFonts w:ascii="仿宋" w:eastAsia="仿宋" w:hAnsi="仿宋" w:cs="仿宋"/>
          <w:sz w:val="32"/>
          <w:szCs w:val="32"/>
          <w:lang w:val="zh-CN"/>
        </w:rPr>
      </w:pPr>
      <w:r>
        <w:rPr>
          <w:rFonts w:ascii="仿宋" w:eastAsia="仿宋" w:hAnsi="仿宋" w:cs="仿宋" w:hint="eastAsia"/>
          <w:sz w:val="32"/>
          <w:szCs w:val="32"/>
          <w:lang w:val="zh-CN"/>
        </w:rPr>
        <w:t>昆明市呈贡区财政局</w:t>
      </w:r>
    </w:p>
    <w:p>
      <w:pPr>
        <w:spacing w:line="560" w:lineRule="exact"/>
        <w:jc w:val="right"/>
        <w:rPr>
          <w:rFonts w:ascii="仿宋" w:eastAsia="仿宋" w:hAnsi="仿宋" w:cs="仿宋"/>
          <w:sz w:val="32"/>
          <w:szCs w:val="32"/>
          <w:lang w:val="zh-CN"/>
        </w:rPr>
      </w:pPr>
      <w:r>
        <w:rPr>
          <w:rFonts w:ascii="仿宋" w:eastAsia="仿宋" w:hAnsi="仿宋" w:cs="仿宋"/>
          <w:sz w:val="32"/>
          <w:szCs w:val="32"/>
          <w:lang w:val="zh-CN"/>
        </w:rPr>
        <w:t>2019</w:t>
      </w:r>
      <w:r>
        <w:rPr>
          <w:rFonts w:ascii="仿宋" w:eastAsia="仿宋" w:hAnsi="仿宋" w:cs="仿宋" w:hint="eastAsia"/>
          <w:sz w:val="32"/>
          <w:szCs w:val="32"/>
          <w:lang w:val="zh-CN"/>
        </w:rPr>
        <w:t>年</w:t>
      </w:r>
      <w:r>
        <w:rPr>
          <w:rFonts w:ascii="仿宋" w:eastAsia="仿宋" w:hAnsi="仿宋" w:cs="仿宋"/>
          <w:sz w:val="32"/>
          <w:szCs w:val="32"/>
        </w:rPr>
        <w:t xml:space="preserve"> 5 </w:t>
      </w:r>
      <w:r>
        <w:rPr>
          <w:rFonts w:ascii="仿宋" w:eastAsia="仿宋" w:hAnsi="仿宋" w:cs="仿宋" w:hint="eastAsia"/>
          <w:sz w:val="32"/>
          <w:szCs w:val="32"/>
          <w:lang w:val="zh-CN"/>
        </w:rPr>
        <w:t>月</w:t>
      </w:r>
      <w:r>
        <w:rPr>
          <w:rFonts w:ascii="仿宋" w:eastAsia="仿宋" w:hAnsi="仿宋" w:cs="仿宋"/>
          <w:sz w:val="32"/>
          <w:szCs w:val="32"/>
        </w:rPr>
        <w:t xml:space="preserve"> </w:t>
      </w:r>
      <w:r>
        <w:rPr>
          <w:rFonts w:ascii="仿宋" w:eastAsia="仿宋" w:hAnsi="仿宋" w:cs="仿宋" w:hint="eastAsia"/>
          <w:sz w:val="32"/>
          <w:szCs w:val="32"/>
          <w:lang w:val="en-US" w:eastAsia="zh-CN"/>
        </w:rPr>
        <w:t>29</w:t>
      </w:r>
      <w:r>
        <w:rPr>
          <w:rFonts w:ascii="仿宋" w:eastAsia="仿宋" w:hAnsi="仿宋" w:cs="仿宋" w:hint="eastAsia"/>
          <w:sz w:val="32"/>
          <w:szCs w:val="32"/>
          <w:lang w:val="zh-CN"/>
        </w:rPr>
        <w:t>日</w:t>
      </w:r>
    </w:p>
    <w:p>
      <w:pPr>
        <w:spacing w:line="560" w:lineRule="exact"/>
        <w:jc w:val="right"/>
        <w:rPr>
          <w:rFonts w:ascii="仿宋" w:eastAsia="仿宋" w:hAnsi="仿宋" w:cs="仿宋"/>
          <w:sz w:val="32"/>
          <w:szCs w:val="32"/>
          <w:lang w:val="zh-CN"/>
        </w:rPr>
      </w:pPr>
    </w:p>
    <w:p>
      <w:pPr>
        <w:spacing w:line="560" w:lineRule="exact"/>
        <w:rPr>
          <w:rFonts w:ascii="仿宋" w:eastAsia="仿宋" w:hAnsi="仿宋" w:cs="仿宋"/>
          <w:sz w:val="32"/>
          <w:szCs w:val="32"/>
        </w:rPr>
      </w:pPr>
      <w:r>
        <w:rPr>
          <w:rFonts w:ascii="仿宋" w:eastAsia="仿宋" w:hAnsi="仿宋" w:cs="仿宋"/>
          <w:sz w:val="32"/>
          <w:szCs w:val="32"/>
          <w:lang w:val="zh-CN"/>
        </w:rPr>
        <w:t xml:space="preserve"> </w:t>
      </w:r>
    </w:p>
    <w:p>
      <w:pPr>
        <w:spacing w:line="560" w:lineRule="exact"/>
        <w:rPr>
          <w:rFonts w:ascii="仿宋" w:eastAsia="仿宋" w:hAnsi="仿宋" w:cs="仿宋"/>
          <w:sz w:val="32"/>
          <w:szCs w:val="32"/>
        </w:rPr>
      </w:pPr>
    </w:p>
    <w:p/>
    <w:sectPr>
      <w:headerReference w:type="even" r:id="rId7"/>
      <w:headerReference w:type="default" r:id="rId8"/>
      <w:footerReference w:type="even" r:id="rId9"/>
      <w:footerReference w:type="default" r:id="rId10"/>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105" w:firstLineChars="50"/>
      <w:rPr>
        <w:rFonts w:ascii="仿宋_GB2312" w:eastAsia="仿宋_GB2312"/>
        <w:sz w:val="28"/>
        <w:szCs w:val="28"/>
      </w:rPr>
    </w:pPr>
    <w:r>
      <w:rPr>
        <w:rFonts w:ascii="仿宋_GB2312" w:eastAsia="仿宋_GB2312"/>
        <w:kern w:val="0"/>
        <w:sz w:val="28"/>
        <w:szCs w:val="28"/>
      </w:rPr>
      <w:t xml:space="preserve">— </w:t>
    </w:r>
    <w:r>
      <w:rPr>
        <w:rFonts w:ascii="仿宋_GB2312" w:eastAsia="仿宋_GB2312"/>
        <w:kern w:val="0"/>
        <w:sz w:val="28"/>
        <w:szCs w:val="28"/>
      </w:rPr>
      <w:fldChar w:fldCharType="begin"/>
    </w:r>
    <w:r>
      <w:rPr>
        <w:rFonts w:ascii="仿宋_GB2312" w:eastAsia="仿宋_GB2312"/>
        <w:kern w:val="0"/>
        <w:sz w:val="28"/>
        <w:szCs w:val="28"/>
      </w:rPr>
      <w:instrText xml:space="preserve"> PAGE </w:instrText>
    </w:r>
    <w:r>
      <w:rPr>
        <w:rFonts w:ascii="仿宋_GB2312" w:eastAsia="仿宋_GB2312"/>
        <w:kern w:val="0"/>
        <w:sz w:val="28"/>
        <w:szCs w:val="28"/>
      </w:rPr>
      <w:fldChar w:fldCharType="separate"/>
    </w:r>
    <w:r>
      <w:rPr>
        <w:rFonts w:ascii="仿宋_GB2312" w:eastAsia="仿宋_GB2312"/>
        <w:kern w:val="0"/>
        <w:sz w:val="28"/>
        <w:szCs w:val="28"/>
      </w:rPr>
      <w:t>2</w:t>
    </w:r>
    <w:r>
      <w:rPr>
        <w:rFonts w:ascii="仿宋_GB2312" w:eastAsia="仿宋_GB2312"/>
        <w:kern w:val="0"/>
        <w:sz w:val="28"/>
        <w:szCs w:val="28"/>
      </w:rPr>
      <w:fldChar w:fldCharType="end"/>
    </w:r>
    <w:r>
      <w:rPr>
        <w:rFonts w:ascii="仿宋_GB2312" w:eastAsia="仿宋_GB2312"/>
        <w:kern w:val="0"/>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rPr>
        <w:rFonts w:ascii="仿宋_GB2312" w:eastAsia="仿宋_GB2312"/>
        <w:sz w:val="28"/>
        <w:szCs w:val="28"/>
      </w:rPr>
    </w:pPr>
    <w:r>
      <w:rPr>
        <w:rFonts w:ascii="仿宋_GB2312" w:eastAsia="仿宋_GB2312"/>
        <w:kern w:val="0"/>
        <w:sz w:val="28"/>
        <w:szCs w:val="28"/>
      </w:rPr>
      <w:t xml:space="preserve">— </w:t>
    </w:r>
    <w:r>
      <w:rPr>
        <w:rFonts w:ascii="仿宋_GB2312" w:eastAsia="仿宋_GB2312"/>
        <w:kern w:val="0"/>
        <w:sz w:val="28"/>
        <w:szCs w:val="28"/>
      </w:rPr>
      <w:fldChar w:fldCharType="begin"/>
    </w:r>
    <w:r>
      <w:rPr>
        <w:rFonts w:ascii="仿宋_GB2312" w:eastAsia="仿宋_GB2312"/>
        <w:kern w:val="0"/>
        <w:sz w:val="28"/>
        <w:szCs w:val="28"/>
      </w:rPr>
      <w:instrText xml:space="preserve"> PAGE </w:instrText>
    </w:r>
    <w:r>
      <w:rPr>
        <w:rFonts w:ascii="仿宋_GB2312" w:eastAsia="仿宋_GB2312"/>
        <w:kern w:val="0"/>
        <w:sz w:val="28"/>
        <w:szCs w:val="28"/>
      </w:rPr>
      <w:fldChar w:fldCharType="separate"/>
    </w:r>
    <w:r>
      <w:rPr>
        <w:rFonts w:ascii="仿宋_GB2312" w:eastAsia="仿宋_GB2312"/>
        <w:kern w:val="0"/>
        <w:sz w:val="28"/>
        <w:szCs w:val="28"/>
      </w:rPr>
      <w:t>1</w:t>
    </w:r>
    <w:r>
      <w:rPr>
        <w:rFonts w:ascii="仿宋_GB2312" w:eastAsia="仿宋_GB2312"/>
        <w:kern w:val="0"/>
        <w:sz w:val="28"/>
        <w:szCs w:val="28"/>
      </w:rPr>
      <w:fldChar w:fldCharType="end"/>
    </w:r>
    <w:r>
      <w:rPr>
        <w:rFonts w:ascii="仿宋_GB2312" w:eastAsia="仿宋_GB2312"/>
        <w:kern w:val="0"/>
        <w:sz w:val="28"/>
        <w:szCs w:val="28"/>
      </w:rPr>
      <w:t xml:space="preserve"> —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il"/>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il"/>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cumentProtection w:edit="forms" w:enforcement="1" w:cryptProviderType="rsaFull" w:cryptAlgorithmClass="hash" w:cryptAlgorithmType="typeAny" w:cryptAlgorithmSid="4" w:cryptSpinCount="0" w:hash="UyYfaOZldP6PG4QMK9+2FnNupzk=&#10;" w:salt="ZCFt+aCJLij8Cfe0wN5oHA==&#1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lsdException w:name="footnote text"/>
    <w:lsdException w:name="annotation text"/>
    <w:lsdException w:name="header" w:semiHidden="0" w:unhideWhenUsed="0" w:qFormat="1"/>
    <w:lsdException w:name="footer" w:semiHidden="0" w:unhideWhenUsed="0" w:qFormat="1"/>
    <w:lsdException w:name="index heading"/>
    <w:lsdException w:name="caption" w:locked="1" w:uiPriority="0"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locked="1" w:semiHidden="0" w:uiPriority="0" w:unhideWhenUsed="0" w:qFormat="1"/>
    <w:lsdException w:name="Closing"/>
    <w:lsdException w:name="Signature"/>
    <w:lsdException w:name="Default Paragraph Font" w:unhideWhenUsed="0"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locked="1" w:semiHidden="0" w:uiPriority="0" w:unhideWhenUsed="0" w:qFormat="1"/>
    <w:lsdException w:name="Salutation"/>
    <w:lsdException w:name="Date"/>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lsdException w:name="FollowedHyperlink"/>
    <w:lsdException w:name="Strong" w:locked="1" w:semiHidden="0" w:uiPriority="0" w:unhideWhenUsed="0" w:qFormat="1"/>
    <w:lsdException w:name="Emphasis" w:locked="1" w:semiHidden="0" w:uiPriority="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nhideWhenUsed="0"/>
    <w:lsdException w:name="Table Grid" w:locked="1" w:semiHidden="0" w:uiPriority="0"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2"/>
      <w:lang w:val="en-US" w:eastAsia="zh-CN" w:bidi="ar-SA"/>
    </w:rPr>
  </w:style>
  <w:style w:type="character" w:default="1" w:styleId="DefaultParagraphFont">
    <w:name w:val="Default Paragraph Font"/>
    <w:uiPriority w:val="99"/>
    <w:semiHidden/>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BalloonText">
    <w:name w:val="Balloon Text"/>
    <w:basedOn w:val="Normal"/>
    <w:link w:val="BalloonTextChar"/>
    <w:uiPriority w:val="99"/>
    <w:semiHidden/>
    <w:rPr>
      <w:sz w:val="18"/>
      <w:szCs w:val="18"/>
    </w:rPr>
  </w:style>
  <w:style w:type="paragraph" w:styleId="Footer">
    <w:name w:val="footer"/>
    <w:basedOn w:val="Normal"/>
    <w:link w:val="FooterChar"/>
    <w:uiPriority w:val="99"/>
    <w:qFormat/>
    <w:pPr>
      <w:tabs>
        <w:tab w:val="center" w:pos="4153"/>
        <w:tab w:val="right" w:pos="8306"/>
      </w:tabs>
      <w:snapToGrid w:val="0"/>
      <w:jc w:val="left"/>
    </w:pPr>
    <w:rPr>
      <w:rFonts w:ascii="Times New Roman" w:hAnsi="Times New Roman"/>
      <w:sz w:val="18"/>
      <w:szCs w:val="18"/>
      <w:lang w:val="zh-CN"/>
    </w:rPr>
  </w:style>
  <w:style w:type="paragraph" w:styleId="Header">
    <w:name w:val="header"/>
    <w:basedOn w:val="Normal"/>
    <w:link w:val="HeaderChar"/>
    <w:uiPriority w:val="99"/>
    <w:qFormat/>
    <w:pPr>
      <w:pBdr>
        <w:bottom w:val="single" w:sz="6" w:space="1" w:color="auto"/>
      </w:pBdr>
      <w:tabs>
        <w:tab w:val="center" w:pos="4153"/>
        <w:tab w:val="right" w:pos="8306"/>
      </w:tabs>
      <w:snapToGrid w:val="0"/>
      <w:jc w:val="center"/>
    </w:pPr>
    <w:rPr>
      <w:rFonts w:ascii="Times New Roman" w:hAnsi="Times New Roman"/>
      <w:sz w:val="18"/>
      <w:szCs w:val="18"/>
      <w:lang w:val="zh-CN"/>
    </w:rPr>
  </w:style>
  <w:style w:type="character" w:customStyle="1" w:styleId="BalloonTextChar">
    <w:name w:val="Balloon Text Char"/>
    <w:basedOn w:val="DefaultParagraphFont"/>
    <w:link w:val="BalloonText"/>
    <w:uiPriority w:val="99"/>
    <w:semiHidden/>
    <w:qFormat/>
    <w:locked/>
    <w:rPr>
      <w:rFonts w:cs="Times New Roman"/>
      <w:sz w:val="18"/>
      <w:szCs w:val="18"/>
    </w:rPr>
  </w:style>
  <w:style w:type="character" w:customStyle="1" w:styleId="FooterChar">
    <w:name w:val="Footer Char"/>
    <w:basedOn w:val="DefaultParagraphFont"/>
    <w:link w:val="Footer"/>
    <w:uiPriority w:val="99"/>
    <w:qFormat/>
    <w:locked/>
    <w:rPr>
      <w:rFonts w:ascii="Times New Roman" w:eastAsia="宋体" w:hAnsi="Times New Roman" w:cs="Times New Roman"/>
      <w:sz w:val="18"/>
      <w:szCs w:val="18"/>
      <w:lang w:val="zh-CN" w:eastAsia="zh-CN"/>
    </w:rPr>
  </w:style>
  <w:style w:type="character" w:customStyle="1" w:styleId="HeaderChar">
    <w:name w:val="Header Char"/>
    <w:basedOn w:val="DefaultParagraphFont"/>
    <w:link w:val="Header"/>
    <w:uiPriority w:val="99"/>
    <w:qFormat/>
    <w:locked/>
    <w:rPr>
      <w:rFonts w:ascii="Times New Roman" w:eastAsia="宋体" w:hAnsi="Times New Roman" w:cs="Times New Roman"/>
      <w:sz w:val="18"/>
      <w:szCs w:val="18"/>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control" Target="activeX/activeX1.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activeX/_rels/activeX1.xml.rels>&#65279;<?xml version="1.0" encoding="utf-8" standalone="yes"?><Relationships xmlns="http://schemas.openxmlformats.org/package/2006/relationships"><Relationship Id="rId1" Type="http://schemas.microsoft.com/office/2006/relationships/activeXControlBinary" Target="activeX1.bin" /></Relationships>
</file>

<file path=word/activeX/activeX1.xml><?xml version="1.0" encoding="utf-8"?>
<ax:ocx xmlns:ax="http://schemas.microsoft.com/office/2006/activeX" xmlns:r="http://schemas.openxmlformats.org/officeDocument/2006/relationships" ax:classid="{2155DE9A-CA5F-4C83-B20F-8B06B3C79D0C}"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TotalTime>0</TotalTime>
  <Pages>1</Pages>
  <Words>44</Words>
  <Characters>252</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刁攀红</dc:creator>
  <cp:lastModifiedBy>dell</cp:lastModifiedBy>
  <cp:revision>7</cp:revision>
  <dcterms:created xsi:type="dcterms:W3CDTF">2019-04-26T07:41:00Z</dcterms:created>
  <dcterms:modified xsi:type="dcterms:W3CDTF">2019-05-30T02:47:08Z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ranid">
    <vt:lpwstr>320BC4036F3846DA80A5874C6F9E4558</vt:lpwstr>
  </property>
  <property fmtid="{D5CDD505-2E9C-101B-9397-08002B2CF9AE}" pid="3" name="KSOProductBuildVer">
    <vt:lpwstr>2052-10.1.0.6260</vt:lpwstr>
  </property>
</Properties>
</file>