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附件3-2：</w:t>
      </w:r>
    </w:p>
    <w:p>
      <w:pPr>
        <w:spacing w:line="600" w:lineRule="exact"/>
        <w:rPr>
          <w:rFonts w:ascii="黑体" w:eastAsia="黑体"/>
          <w:szCs w:val="32"/>
        </w:rPr>
      </w:pPr>
    </w:p>
    <w:p>
      <w:pPr>
        <w:spacing w:line="600" w:lineRule="exact"/>
        <w:jc w:val="center"/>
        <w:rPr>
          <w:rFonts w:ascii="方正小标宋_GBK" w:eastAsia="方正小标宋_GBK"/>
          <w:sz w:val="36"/>
          <w:szCs w:val="36"/>
        </w:rPr>
      </w:pPr>
      <w:r>
        <w:rPr>
          <w:rFonts w:hint="eastAsia" w:ascii="方正小标宋_GBK" w:hAnsi="Calibri" w:eastAsia="方正小标宋_GBK" w:cs="Times New Roman"/>
          <w:sz w:val="36"/>
          <w:szCs w:val="36"/>
        </w:rPr>
        <w:t>昆明市呈贡区</w:t>
      </w:r>
      <w:r>
        <w:rPr>
          <w:rFonts w:hint="eastAsia" w:ascii="方正小标宋_GBK" w:hAnsi="Calibri" w:eastAsia="方正小标宋_GBK" w:cs="Times New Roman"/>
          <w:sz w:val="36"/>
          <w:szCs w:val="36"/>
          <w:lang w:eastAsia="zh-CN"/>
        </w:rPr>
        <w:t>文物管理所</w:t>
      </w:r>
      <w:r>
        <w:rPr>
          <w:rFonts w:hint="eastAsia" w:ascii="方正小标宋_GBK" w:eastAsia="方正小标宋_GBK"/>
          <w:sz w:val="36"/>
          <w:szCs w:val="36"/>
        </w:rPr>
        <w:t>整体支出绩效评价报告</w:t>
      </w:r>
    </w:p>
    <w:p>
      <w:pPr>
        <w:spacing w:line="600" w:lineRule="exact"/>
        <w:ind w:firstLine="669" w:firstLineChars="225"/>
        <w:rPr>
          <w:rFonts w:ascii="仿宋_GB2312"/>
          <w:b/>
          <w:szCs w:val="32"/>
        </w:rPr>
      </w:pPr>
    </w:p>
    <w:p>
      <w:pPr>
        <w:topLinePunct/>
        <w:ind w:firstLine="594" w:firstLineChars="200"/>
        <w:rPr>
          <w:rFonts w:hint="default" w:ascii="黑体" w:eastAsia="黑体"/>
          <w:szCs w:val="32"/>
          <w:lang w:val="en-US" w:eastAsia="zh-CN"/>
        </w:rPr>
      </w:pPr>
      <w:r>
        <w:rPr>
          <w:rFonts w:hint="eastAsia" w:ascii="黑体" w:eastAsia="黑体"/>
          <w:szCs w:val="32"/>
        </w:rPr>
        <w:t>一、基本情况</w:t>
      </w:r>
      <w:r>
        <w:rPr>
          <w:rFonts w:hint="eastAsia" w:ascii="黑体" w:eastAsia="黑体"/>
          <w:szCs w:val="32"/>
          <w:lang w:val="en-US" w:eastAsia="zh-CN"/>
        </w:rPr>
        <w:t xml:space="preserve">       </w:t>
      </w:r>
    </w:p>
    <w:p>
      <w:pPr>
        <w:topLinePunct/>
        <w:ind w:firstLine="594" w:firstLineChars="200"/>
        <w:rPr>
          <w:rFonts w:ascii="仿宋_GB2312"/>
          <w:szCs w:val="32"/>
        </w:rPr>
      </w:pPr>
      <w:r>
        <w:rPr>
          <w:rFonts w:hint="eastAsia" w:ascii="仿宋_GB2312"/>
          <w:szCs w:val="32"/>
        </w:rPr>
        <w:t>（一）部门整体支出概况，年度部门决算收支完成情况，包括收入构成、支出构成、年初预算完成率、当年收支平衡和年终结转结余情况等。</w:t>
      </w:r>
    </w:p>
    <w:p>
      <w:pPr>
        <w:topLinePunct/>
        <w:ind w:firstLine="594" w:firstLineChars="200"/>
        <w:rPr>
          <w:rFonts w:hint="eastAsia" w:ascii="仿宋_GB2312"/>
          <w:szCs w:val="32"/>
        </w:rPr>
      </w:pPr>
      <w:r>
        <w:rPr>
          <w:rFonts w:hint="eastAsia" w:ascii="仿宋_GB2312"/>
          <w:szCs w:val="32"/>
        </w:rPr>
        <w:t>2018预算安排</w:t>
      </w:r>
      <w:r>
        <w:rPr>
          <w:rFonts w:hint="eastAsia" w:ascii="仿宋_GB2312"/>
          <w:szCs w:val="32"/>
          <w:lang w:val="en-US" w:eastAsia="zh-CN"/>
        </w:rPr>
        <w:t>484.59万</w:t>
      </w:r>
      <w:r>
        <w:rPr>
          <w:rFonts w:hint="eastAsia" w:ascii="仿宋_GB2312"/>
          <w:szCs w:val="32"/>
        </w:rPr>
        <w:t>元，</w:t>
      </w:r>
      <w:r>
        <w:rPr>
          <w:rFonts w:hint="eastAsia" w:ascii="仿宋_GB2312"/>
          <w:szCs w:val="32"/>
          <w:lang w:eastAsia="zh-CN"/>
        </w:rPr>
        <w:t>调整预算</w:t>
      </w:r>
      <w:r>
        <w:rPr>
          <w:rFonts w:hint="eastAsia" w:ascii="仿宋_GB2312"/>
          <w:szCs w:val="32"/>
          <w:lang w:val="en-US" w:eastAsia="zh-CN"/>
        </w:rPr>
        <w:t>222.88万</w:t>
      </w:r>
      <w:r>
        <w:rPr>
          <w:rFonts w:hint="eastAsia" w:ascii="仿宋_GB2312"/>
          <w:szCs w:val="32"/>
        </w:rPr>
        <w:t>元，</w:t>
      </w:r>
      <w:r>
        <w:rPr>
          <w:rFonts w:hint="eastAsia" w:ascii="仿宋_GB2312"/>
          <w:szCs w:val="32"/>
          <w:lang w:eastAsia="zh-CN"/>
        </w:rPr>
        <w:t>上年结余</w:t>
      </w:r>
      <w:r>
        <w:rPr>
          <w:rFonts w:hint="eastAsia" w:ascii="仿宋_GB2312"/>
          <w:szCs w:val="32"/>
          <w:lang w:val="en-US" w:eastAsia="zh-CN"/>
        </w:rPr>
        <w:t>215.61万元，</w:t>
      </w:r>
      <w:r>
        <w:rPr>
          <w:rFonts w:hint="eastAsia" w:ascii="仿宋_GB2312"/>
          <w:szCs w:val="32"/>
        </w:rPr>
        <w:t>2018年收入总计</w:t>
      </w:r>
      <w:r>
        <w:rPr>
          <w:rFonts w:hint="eastAsia" w:ascii="仿宋_GB2312"/>
          <w:szCs w:val="32"/>
          <w:lang w:val="en-US" w:eastAsia="zh-CN"/>
        </w:rPr>
        <w:t>923.08万</w:t>
      </w:r>
      <w:r>
        <w:rPr>
          <w:rFonts w:hint="eastAsia" w:ascii="仿宋_GB2312"/>
          <w:szCs w:val="32"/>
        </w:rPr>
        <w:t>元，其中财政拨款收入</w:t>
      </w:r>
      <w:r>
        <w:rPr>
          <w:rFonts w:hint="eastAsia" w:ascii="仿宋_GB2312"/>
          <w:szCs w:val="32"/>
          <w:lang w:val="en-US" w:eastAsia="zh-CN"/>
        </w:rPr>
        <w:t>923.08万</w:t>
      </w:r>
      <w:r>
        <w:rPr>
          <w:rFonts w:hint="eastAsia" w:ascii="仿宋_GB2312"/>
          <w:szCs w:val="32"/>
        </w:rPr>
        <w:t>元，占总收入的100%。</w:t>
      </w:r>
    </w:p>
    <w:p>
      <w:pPr>
        <w:topLinePunct/>
        <w:ind w:firstLine="594" w:firstLineChars="200"/>
        <w:rPr>
          <w:rFonts w:hint="eastAsia" w:ascii="仿宋_GB2312"/>
          <w:szCs w:val="32"/>
        </w:rPr>
      </w:pPr>
      <w:r>
        <w:rPr>
          <w:rFonts w:hint="eastAsia" w:ascii="仿宋_GB2312"/>
          <w:szCs w:val="32"/>
        </w:rPr>
        <w:t>2018年预算执行</w:t>
      </w:r>
      <w:r>
        <w:rPr>
          <w:rFonts w:hint="eastAsia" w:ascii="仿宋_GB2312"/>
          <w:szCs w:val="32"/>
          <w:lang w:val="en-US" w:eastAsia="zh-CN"/>
        </w:rPr>
        <w:t>922.71万</w:t>
      </w:r>
      <w:r>
        <w:rPr>
          <w:rFonts w:hint="eastAsia" w:ascii="仿宋_GB2312"/>
          <w:szCs w:val="32"/>
        </w:rPr>
        <w:t>元，其中：基本支出</w:t>
      </w:r>
      <w:r>
        <w:rPr>
          <w:rFonts w:hint="eastAsia" w:ascii="仿宋_GB2312"/>
          <w:szCs w:val="32"/>
          <w:lang w:val="en-US" w:eastAsia="zh-CN"/>
        </w:rPr>
        <w:t>75.23万</w:t>
      </w:r>
      <w:r>
        <w:rPr>
          <w:rFonts w:hint="eastAsia" w:ascii="仿宋_GB2312"/>
          <w:szCs w:val="32"/>
        </w:rPr>
        <w:t>元，占总支出的</w:t>
      </w:r>
      <w:r>
        <w:rPr>
          <w:rFonts w:hint="eastAsia" w:ascii="仿宋_GB2312"/>
          <w:szCs w:val="32"/>
          <w:lang w:val="en-US" w:eastAsia="zh-CN"/>
        </w:rPr>
        <w:t>8.20</w:t>
      </w:r>
      <w:r>
        <w:rPr>
          <w:rFonts w:hint="eastAsia" w:ascii="仿宋_GB2312"/>
          <w:szCs w:val="32"/>
        </w:rPr>
        <w:t>%。项目支出</w:t>
      </w:r>
      <w:r>
        <w:rPr>
          <w:rFonts w:hint="eastAsia" w:ascii="仿宋_GB2312"/>
          <w:szCs w:val="32"/>
          <w:lang w:val="en-US" w:eastAsia="zh-CN"/>
        </w:rPr>
        <w:t>847.48万</w:t>
      </w:r>
      <w:r>
        <w:rPr>
          <w:rFonts w:hint="eastAsia" w:ascii="仿宋_GB2312"/>
          <w:szCs w:val="32"/>
        </w:rPr>
        <w:t>元，占总支出的</w:t>
      </w:r>
      <w:r>
        <w:rPr>
          <w:rFonts w:hint="eastAsia" w:ascii="仿宋_GB2312"/>
          <w:szCs w:val="32"/>
          <w:lang w:val="en-US" w:eastAsia="zh-CN"/>
        </w:rPr>
        <w:t>91.80</w:t>
      </w:r>
      <w:r>
        <w:rPr>
          <w:rFonts w:hint="eastAsia" w:ascii="仿宋_GB2312"/>
          <w:szCs w:val="32"/>
        </w:rPr>
        <w:t>%。</w:t>
      </w:r>
    </w:p>
    <w:p>
      <w:pPr>
        <w:topLinePunct/>
        <w:ind w:firstLine="594" w:firstLineChars="200"/>
        <w:rPr>
          <w:rFonts w:hint="eastAsia" w:ascii="仿宋_GB2312"/>
          <w:szCs w:val="32"/>
        </w:rPr>
      </w:pPr>
      <w:r>
        <w:rPr>
          <w:rFonts w:hint="eastAsia" w:ascii="仿宋_GB2312"/>
          <w:szCs w:val="32"/>
        </w:rPr>
        <w:t>（二）部门整体支出绩效目标，主要包括区委、区政府或上级主管部门绩效考核的个性指标、预决算公开、存量资金管理、资产管理、三公经费控制、内部管理制度建设等的设定及完成情况，项目绩效总目标和阶段性目标完成情况及预期经济、社会效益等。</w:t>
      </w:r>
    </w:p>
    <w:p>
      <w:pPr>
        <w:topLinePunct/>
        <w:ind w:firstLine="594" w:firstLineChars="200"/>
        <w:rPr>
          <w:rFonts w:hint="eastAsia" w:ascii="仿宋_GB2312"/>
          <w:szCs w:val="32"/>
        </w:rPr>
      </w:pPr>
      <w:r>
        <w:rPr>
          <w:rFonts w:hint="eastAsia" w:ascii="仿宋_GB2312"/>
          <w:szCs w:val="32"/>
        </w:rPr>
        <w:t>2018年预决算已按时限在网上进行公开。存量资金按财政批复要求使用或上缴国库。按规定进行资产管理，内部管理制度建设基本完美。项目绩效总目标和阶段性目标已完成。</w:t>
      </w:r>
    </w:p>
    <w:p>
      <w:pPr>
        <w:topLinePunct/>
        <w:ind w:firstLine="594" w:firstLineChars="200"/>
        <w:rPr>
          <w:rFonts w:hint="eastAsia" w:ascii="仿宋_GB2312" w:eastAsia="仿宋_GB2312"/>
          <w:szCs w:val="32"/>
          <w:lang w:val="en-US" w:eastAsia="zh-CN"/>
        </w:rPr>
      </w:pPr>
      <w:r>
        <w:rPr>
          <w:rFonts w:hint="eastAsia" w:ascii="仿宋_GB2312"/>
          <w:szCs w:val="32"/>
        </w:rPr>
        <w:t>2018年部门“三公”经费预算</w:t>
      </w:r>
      <w:r>
        <w:rPr>
          <w:rFonts w:hint="eastAsia" w:ascii="仿宋_GB2312"/>
          <w:szCs w:val="32"/>
          <w:lang w:val="en-US" w:eastAsia="zh-CN"/>
        </w:rPr>
        <w:t>2.8</w:t>
      </w:r>
      <w:r>
        <w:rPr>
          <w:rFonts w:hint="eastAsia" w:ascii="仿宋_GB2312"/>
          <w:szCs w:val="32"/>
        </w:rPr>
        <w:t>万元，比上年预算数（减少）</w:t>
      </w:r>
      <w:r>
        <w:rPr>
          <w:rFonts w:hint="eastAsia" w:ascii="仿宋_GB2312"/>
          <w:szCs w:val="32"/>
          <w:lang w:val="en-US" w:eastAsia="zh-CN"/>
        </w:rPr>
        <w:t>1.54</w:t>
      </w:r>
      <w:r>
        <w:rPr>
          <w:rFonts w:hint="eastAsia" w:ascii="仿宋_GB2312"/>
          <w:szCs w:val="32"/>
        </w:rPr>
        <w:t>万元，其中：2.公务接待费</w:t>
      </w:r>
      <w:r>
        <w:rPr>
          <w:rFonts w:hint="eastAsia" w:ascii="仿宋_GB2312"/>
          <w:szCs w:val="32"/>
          <w:lang w:val="en-US" w:eastAsia="zh-CN"/>
        </w:rPr>
        <w:t>0.3</w:t>
      </w:r>
      <w:r>
        <w:rPr>
          <w:rFonts w:hint="eastAsia" w:ascii="仿宋_GB2312"/>
          <w:szCs w:val="32"/>
        </w:rPr>
        <w:t>万元，比上年预算数（减少）0.</w:t>
      </w:r>
      <w:r>
        <w:rPr>
          <w:rFonts w:hint="eastAsia" w:ascii="仿宋_GB2312"/>
          <w:szCs w:val="32"/>
          <w:lang w:val="en-US" w:eastAsia="zh-CN"/>
        </w:rPr>
        <w:t>5</w:t>
      </w:r>
      <w:r>
        <w:rPr>
          <w:rFonts w:hint="eastAsia" w:ascii="仿宋_GB2312"/>
          <w:szCs w:val="32"/>
        </w:rPr>
        <w:t>万元；3.公务用车购置及运行费</w:t>
      </w:r>
      <w:r>
        <w:rPr>
          <w:rFonts w:hint="eastAsia" w:ascii="仿宋_GB2312"/>
          <w:szCs w:val="32"/>
          <w:lang w:val="en-US" w:eastAsia="zh-CN"/>
        </w:rPr>
        <w:t>2.5</w:t>
      </w:r>
      <w:r>
        <w:rPr>
          <w:rFonts w:hint="eastAsia" w:ascii="仿宋_GB2312"/>
          <w:szCs w:val="32"/>
        </w:rPr>
        <w:t>万元，比上年预算数增加（减少）</w:t>
      </w:r>
      <w:r>
        <w:rPr>
          <w:rFonts w:hint="eastAsia" w:ascii="仿宋_GB2312"/>
          <w:szCs w:val="32"/>
          <w:lang w:val="en-US" w:eastAsia="zh-CN"/>
        </w:rPr>
        <w:t>1.04</w:t>
      </w:r>
      <w:r>
        <w:rPr>
          <w:rFonts w:hint="eastAsia" w:ascii="仿宋_GB2312"/>
          <w:szCs w:val="32"/>
        </w:rPr>
        <w:t>万元。严格落实中央八项规定，压缩三公经费</w:t>
      </w:r>
      <w:r>
        <w:rPr>
          <w:rFonts w:hint="eastAsia" w:ascii="仿宋_GB2312"/>
          <w:szCs w:val="32"/>
          <w:lang w:eastAsia="zh-CN"/>
        </w:rPr>
        <w:t>。</w:t>
      </w:r>
    </w:p>
    <w:p>
      <w:pPr>
        <w:topLinePunct/>
        <w:ind w:firstLine="594" w:firstLineChars="200"/>
        <w:rPr>
          <w:rFonts w:hint="eastAsia" w:ascii="仿宋_GB2312"/>
          <w:szCs w:val="32"/>
        </w:rPr>
      </w:pPr>
      <w:r>
        <w:rPr>
          <w:rFonts w:hint="eastAsia" w:ascii="仿宋_GB2312"/>
          <w:szCs w:val="32"/>
        </w:rPr>
        <w:t>（三）部门整体支出或项目实施情况分析，主要包括资金到位、资金使用、资金管理、项目组织和项目管理情况分析等。</w:t>
      </w:r>
    </w:p>
    <w:p>
      <w:pPr>
        <w:topLinePunct/>
        <w:ind w:firstLine="594" w:firstLineChars="200"/>
        <w:rPr>
          <w:rFonts w:hint="eastAsia" w:ascii="仿宋_GB2312"/>
          <w:szCs w:val="32"/>
        </w:rPr>
      </w:pPr>
      <w:r>
        <w:rPr>
          <w:rFonts w:hint="eastAsia" w:ascii="仿宋_GB2312"/>
          <w:szCs w:val="32"/>
        </w:rPr>
        <w:t>1.基本支出</w:t>
      </w:r>
    </w:p>
    <w:p>
      <w:pPr>
        <w:topLinePunct/>
        <w:spacing w:line="560" w:lineRule="exact"/>
        <w:ind w:firstLine="594"/>
        <w:rPr>
          <w:rFonts w:hint="default" w:ascii="仿宋_GB2312" w:eastAsia="仿宋_GB2312"/>
          <w:szCs w:val="32"/>
          <w:lang w:val="en-US" w:eastAsia="zh-CN"/>
        </w:rPr>
      </w:pPr>
      <w:r>
        <w:rPr>
          <w:rFonts w:hint="eastAsia" w:ascii="仿宋_GB2312"/>
          <w:szCs w:val="32"/>
        </w:rPr>
        <w:t>基本支出</w:t>
      </w:r>
      <w:r>
        <w:rPr>
          <w:rFonts w:hint="eastAsia" w:ascii="仿宋_GB2312"/>
          <w:szCs w:val="32"/>
          <w:lang w:val="en-US" w:eastAsia="zh-CN"/>
        </w:rPr>
        <w:t>75.23</w:t>
      </w:r>
      <w:bookmarkStart w:id="0" w:name="_GoBack"/>
      <w:bookmarkEnd w:id="0"/>
      <w:r>
        <w:rPr>
          <w:rFonts w:hint="eastAsia" w:ascii="仿宋_GB2312"/>
          <w:szCs w:val="32"/>
        </w:rPr>
        <w:t>万元，其中工资福利支出</w:t>
      </w:r>
      <w:r>
        <w:rPr>
          <w:rFonts w:hint="eastAsia" w:ascii="仿宋_GB2312"/>
          <w:szCs w:val="32"/>
          <w:lang w:val="en-US" w:eastAsia="zh-CN"/>
        </w:rPr>
        <w:t>63.67</w:t>
      </w:r>
      <w:r>
        <w:rPr>
          <w:rFonts w:hint="eastAsia" w:ascii="仿宋_GB2312"/>
          <w:szCs w:val="32"/>
        </w:rPr>
        <w:t>万元，一般商品服务支出</w:t>
      </w:r>
      <w:r>
        <w:rPr>
          <w:rFonts w:hint="eastAsia" w:ascii="仿宋_GB2312"/>
          <w:szCs w:val="32"/>
          <w:lang w:val="en-US" w:eastAsia="zh-CN"/>
        </w:rPr>
        <w:t>11.56</w:t>
      </w:r>
      <w:r>
        <w:rPr>
          <w:rFonts w:hint="eastAsia" w:ascii="仿宋_GB2312"/>
          <w:szCs w:val="32"/>
        </w:rPr>
        <w:t>万元，主要含办公费、水电费、差旅费、会议费、办公设备购置费等事业运行经费，是为保障单位正常运转、完成日常工作任务而发生的各项支出</w:t>
      </w:r>
      <w:r>
        <w:rPr>
          <w:rFonts w:hint="eastAsia" w:ascii="仿宋_GB2312"/>
          <w:szCs w:val="32"/>
          <w:lang w:eastAsia="zh-CN"/>
        </w:rPr>
        <w:t>。</w:t>
      </w:r>
      <w:r>
        <w:rPr>
          <w:rFonts w:hint="eastAsia" w:ascii="仿宋_GB2312"/>
          <w:szCs w:val="32"/>
          <w:lang w:val="en-US" w:eastAsia="zh-CN"/>
        </w:rPr>
        <w:t xml:space="preserve">             </w:t>
      </w:r>
    </w:p>
    <w:p>
      <w:pPr>
        <w:topLinePunct/>
        <w:spacing w:line="560" w:lineRule="exact"/>
        <w:ind w:firstLine="594"/>
        <w:rPr>
          <w:rFonts w:ascii="仿宋_GB2312" w:hAnsi="仿宋_GB2312"/>
          <w:color w:val="000000"/>
          <w:szCs w:val="32"/>
        </w:rPr>
      </w:pPr>
      <w:r>
        <w:rPr>
          <w:rFonts w:hint="eastAsia" w:ascii="仿宋_GB2312" w:hAnsi="仿宋_GB2312"/>
          <w:color w:val="000000"/>
          <w:szCs w:val="32"/>
        </w:rPr>
        <w:t>2.项目支出</w:t>
      </w:r>
    </w:p>
    <w:p>
      <w:pPr>
        <w:keepNext w:val="0"/>
        <w:keepLines w:val="0"/>
        <w:pageBreakBefore w:val="0"/>
        <w:widowControl w:val="0"/>
        <w:kinsoku/>
        <w:wordWrap/>
        <w:overflowPunct/>
        <w:topLinePunct/>
        <w:autoSpaceDE/>
        <w:autoSpaceDN/>
        <w:bidi w:val="0"/>
        <w:adjustRightInd/>
        <w:snapToGrid/>
        <w:spacing w:line="520" w:lineRule="exact"/>
        <w:ind w:firstLine="594" w:firstLineChars="200"/>
        <w:textAlignment w:val="auto"/>
        <w:rPr>
          <w:rFonts w:hint="eastAsia" w:ascii="仿宋_GB2312"/>
          <w:szCs w:val="32"/>
        </w:rPr>
      </w:pPr>
      <w:r>
        <w:rPr>
          <w:rFonts w:hint="eastAsia" w:ascii="仿宋_GB2312"/>
          <w:szCs w:val="32"/>
        </w:rPr>
        <w:t>201</w:t>
      </w:r>
      <w:r>
        <w:rPr>
          <w:rFonts w:hint="eastAsia" w:ascii="仿宋_GB2312"/>
          <w:szCs w:val="32"/>
          <w:lang w:val="en-US" w:eastAsia="zh-CN"/>
        </w:rPr>
        <w:t>8</w:t>
      </w:r>
      <w:r>
        <w:rPr>
          <w:rFonts w:hint="eastAsia" w:ascii="仿宋_GB2312"/>
          <w:szCs w:val="32"/>
        </w:rPr>
        <w:t>年文物管理所部门</w:t>
      </w:r>
      <w:r>
        <w:rPr>
          <w:rFonts w:hint="eastAsia" w:ascii="仿宋_GB2312"/>
          <w:szCs w:val="32"/>
          <w:lang w:eastAsia="zh-CN"/>
        </w:rPr>
        <w:t>项目</w:t>
      </w:r>
      <w:r>
        <w:rPr>
          <w:rFonts w:hint="eastAsia" w:ascii="仿宋_GB2312"/>
          <w:szCs w:val="32"/>
        </w:rPr>
        <w:t>支出</w:t>
      </w:r>
      <w:r>
        <w:rPr>
          <w:rFonts w:hint="eastAsia" w:ascii="仿宋_GB2312"/>
          <w:szCs w:val="32"/>
          <w:lang w:val="en-US" w:eastAsia="zh-CN"/>
        </w:rPr>
        <w:t>4</w:t>
      </w:r>
      <w:r>
        <w:rPr>
          <w:rFonts w:hint="eastAsia" w:ascii="仿宋_GB2312"/>
          <w:szCs w:val="32"/>
        </w:rPr>
        <w:t>项，已全部到位，年度部门决算支出完成情况：</w:t>
      </w:r>
    </w:p>
    <w:p>
      <w:pPr>
        <w:keepNext w:val="0"/>
        <w:keepLines w:val="0"/>
        <w:pageBreakBefore w:val="0"/>
        <w:widowControl w:val="0"/>
        <w:numPr>
          <w:ilvl w:val="0"/>
          <w:numId w:val="1"/>
        </w:numPr>
        <w:kinsoku/>
        <w:wordWrap/>
        <w:overflowPunct/>
        <w:topLinePunct/>
        <w:autoSpaceDE/>
        <w:autoSpaceDN/>
        <w:bidi w:val="0"/>
        <w:adjustRightInd/>
        <w:snapToGrid/>
        <w:spacing w:line="520" w:lineRule="exact"/>
        <w:ind w:firstLine="594" w:firstLineChars="200"/>
        <w:textAlignment w:val="auto"/>
        <w:rPr>
          <w:rFonts w:hint="eastAsia" w:ascii="仿宋_GB2312"/>
          <w:szCs w:val="32"/>
          <w:lang w:val="en-US" w:eastAsia="zh-CN"/>
        </w:rPr>
      </w:pPr>
      <w:r>
        <w:rPr>
          <w:rFonts w:hint="eastAsia" w:ascii="仿宋_GB2312"/>
          <w:szCs w:val="32"/>
        </w:rPr>
        <w:t>下可乐来青寺修缮</w:t>
      </w:r>
      <w:r>
        <w:rPr>
          <w:rFonts w:hint="eastAsia" w:ascii="仿宋_GB2312"/>
          <w:szCs w:val="32"/>
          <w:lang w:val="en-US" w:eastAsia="zh-CN"/>
        </w:rPr>
        <w:t>1833700元，已支付1833700元，支付率100%。</w:t>
      </w:r>
    </w:p>
    <w:p>
      <w:pPr>
        <w:keepNext w:val="0"/>
        <w:keepLines w:val="0"/>
        <w:pageBreakBefore w:val="0"/>
        <w:widowControl w:val="0"/>
        <w:numPr>
          <w:ilvl w:val="0"/>
          <w:numId w:val="1"/>
        </w:numPr>
        <w:kinsoku/>
        <w:wordWrap/>
        <w:overflowPunct/>
        <w:topLinePunct/>
        <w:autoSpaceDE/>
        <w:autoSpaceDN/>
        <w:bidi w:val="0"/>
        <w:adjustRightInd/>
        <w:snapToGrid/>
        <w:spacing w:line="520" w:lineRule="exact"/>
        <w:ind w:firstLine="594" w:firstLineChars="200"/>
        <w:textAlignment w:val="auto"/>
        <w:rPr>
          <w:rFonts w:hint="eastAsia" w:ascii="仿宋_GB2312"/>
          <w:szCs w:val="32"/>
          <w:lang w:val="en-US" w:eastAsia="zh-CN"/>
        </w:rPr>
      </w:pPr>
      <w:r>
        <w:rPr>
          <w:rFonts w:hint="default" w:ascii="仿宋_GB2312"/>
          <w:szCs w:val="32"/>
          <w:lang w:val="en-US" w:eastAsia="zh-CN"/>
        </w:rPr>
        <w:t>文庙大成门恢复重建工作经费1</w:t>
      </w:r>
      <w:r>
        <w:rPr>
          <w:rFonts w:hint="eastAsia" w:ascii="仿宋_GB2312"/>
          <w:szCs w:val="32"/>
          <w:lang w:val="en-US" w:eastAsia="zh-CN"/>
        </w:rPr>
        <w:t>9</w:t>
      </w:r>
      <w:r>
        <w:rPr>
          <w:rFonts w:hint="default" w:ascii="仿宋_GB2312"/>
          <w:szCs w:val="32"/>
          <w:lang w:val="en-US" w:eastAsia="zh-CN"/>
        </w:rPr>
        <w:t>00000</w:t>
      </w:r>
      <w:r>
        <w:rPr>
          <w:rFonts w:hint="eastAsia" w:ascii="仿宋_GB2312"/>
          <w:szCs w:val="32"/>
          <w:lang w:val="en-US" w:eastAsia="zh-CN"/>
        </w:rPr>
        <w:t>元，已支付1900000元，支付率100%。</w:t>
      </w:r>
    </w:p>
    <w:p>
      <w:pPr>
        <w:keepNext w:val="0"/>
        <w:keepLines w:val="0"/>
        <w:pageBreakBefore w:val="0"/>
        <w:widowControl w:val="0"/>
        <w:kinsoku/>
        <w:wordWrap/>
        <w:overflowPunct/>
        <w:topLinePunct/>
        <w:autoSpaceDE/>
        <w:autoSpaceDN/>
        <w:bidi w:val="0"/>
        <w:adjustRightInd/>
        <w:snapToGrid/>
        <w:spacing w:line="520" w:lineRule="exact"/>
        <w:ind w:firstLine="594" w:firstLineChars="200"/>
        <w:textAlignment w:val="auto"/>
        <w:rPr>
          <w:rFonts w:hint="eastAsia" w:ascii="仿宋_GB2312"/>
          <w:szCs w:val="32"/>
          <w:lang w:val="en-US" w:eastAsia="zh-CN"/>
        </w:rPr>
      </w:pPr>
      <w:r>
        <w:rPr>
          <w:rFonts w:hint="eastAsia" w:ascii="仿宋_GB2312"/>
          <w:szCs w:val="32"/>
          <w:lang w:val="en-US" w:eastAsia="zh-CN"/>
        </w:rPr>
        <w:t>3、100万元以下7个项目合并的文物修缮项目合并3499783.94元，已支付3296646.34元，调减203137.6元，支付率94.1%。</w:t>
      </w:r>
    </w:p>
    <w:p>
      <w:pPr>
        <w:keepNext w:val="0"/>
        <w:keepLines w:val="0"/>
        <w:pageBreakBefore w:val="0"/>
        <w:widowControl w:val="0"/>
        <w:kinsoku/>
        <w:wordWrap/>
        <w:overflowPunct/>
        <w:topLinePunct/>
        <w:autoSpaceDE/>
        <w:autoSpaceDN/>
        <w:bidi w:val="0"/>
        <w:adjustRightInd/>
        <w:snapToGrid/>
        <w:spacing w:line="520" w:lineRule="exact"/>
        <w:ind w:firstLine="594" w:firstLineChars="200"/>
        <w:textAlignment w:val="auto"/>
        <w:rPr>
          <w:rFonts w:hint="eastAsia" w:ascii="仿宋_GB2312"/>
          <w:szCs w:val="32"/>
          <w:lang w:val="en-US" w:eastAsia="zh-CN"/>
        </w:rPr>
      </w:pPr>
      <w:r>
        <w:rPr>
          <w:rFonts w:hint="eastAsia" w:ascii="仿宋_GB2312"/>
          <w:szCs w:val="32"/>
          <w:lang w:val="en-US" w:eastAsia="zh-CN"/>
        </w:rPr>
        <w:t>4、100万元以下6个一般性项目合并259362元，调减2项26442.45元，已支付232919.55元，支付率89.8%。</w:t>
      </w:r>
    </w:p>
    <w:p>
      <w:pPr>
        <w:topLinePunct/>
        <w:ind w:firstLine="594" w:firstLineChars="200"/>
        <w:rPr>
          <w:rFonts w:ascii="仿宋_GB2312"/>
          <w:szCs w:val="32"/>
        </w:rPr>
      </w:pPr>
      <w:r>
        <w:rPr>
          <w:rFonts w:hint="eastAsia" w:ascii="仿宋_GB2312" w:hAnsi="仿宋_GB2312"/>
          <w:color w:val="000000"/>
          <w:szCs w:val="32"/>
        </w:rPr>
        <w:t>在资金使用管理方面我</w:t>
      </w:r>
      <w:r>
        <w:rPr>
          <w:rFonts w:hint="eastAsia" w:ascii="仿宋_GB2312" w:hAnsi="仿宋_GB2312"/>
          <w:color w:val="000000"/>
          <w:szCs w:val="32"/>
          <w:lang w:eastAsia="zh-CN"/>
        </w:rPr>
        <w:t>单位</w:t>
      </w:r>
      <w:r>
        <w:rPr>
          <w:rFonts w:hint="eastAsia" w:ascii="仿宋_GB2312" w:hAnsi="仿宋_GB2312"/>
          <w:color w:val="000000"/>
          <w:szCs w:val="32"/>
        </w:rPr>
        <w:t xml:space="preserve">严格按照有关规定国库集中支付管理、事业单位会计制度规定和财政下达资金的使用范围管理和使用项目经费，做到专款专用，确保资金支出的真实性、安全性、合理性。     </w:t>
      </w:r>
    </w:p>
    <w:p>
      <w:pPr>
        <w:topLinePunct/>
        <w:ind w:firstLine="594" w:firstLineChars="200"/>
        <w:rPr>
          <w:rFonts w:ascii="黑体" w:eastAsia="黑体"/>
          <w:szCs w:val="32"/>
        </w:rPr>
      </w:pPr>
      <w:r>
        <w:rPr>
          <w:rFonts w:hint="eastAsia" w:ascii="黑体" w:eastAsia="黑体"/>
          <w:szCs w:val="32"/>
        </w:rPr>
        <w:t>二、绩效评价工作情况</w:t>
      </w:r>
    </w:p>
    <w:p>
      <w:pPr>
        <w:topLinePunct/>
        <w:ind w:firstLine="594" w:firstLineChars="200"/>
        <w:rPr>
          <w:rFonts w:hint="eastAsia" w:ascii="仿宋_GB2312" w:hAnsi="仿宋_GB2312"/>
          <w:color w:val="000000"/>
          <w:szCs w:val="32"/>
        </w:rPr>
      </w:pPr>
      <w:r>
        <w:rPr>
          <w:rFonts w:hint="eastAsia" w:ascii="仿宋_GB2312" w:hAnsi="仿宋_GB2312"/>
          <w:color w:val="000000"/>
          <w:szCs w:val="32"/>
        </w:rPr>
        <w:t>（一）绩效评价目的</w:t>
      </w:r>
    </w:p>
    <w:p>
      <w:pPr>
        <w:topLinePunct/>
        <w:ind w:firstLine="594" w:firstLineChars="200"/>
        <w:rPr>
          <w:rFonts w:hint="eastAsia" w:ascii="仿宋_GB2312" w:hAnsi="仿宋_GB2312"/>
          <w:color w:val="000000"/>
          <w:szCs w:val="32"/>
        </w:rPr>
      </w:pPr>
      <w:r>
        <w:rPr>
          <w:rFonts w:hint="eastAsia" w:ascii="仿宋_GB2312" w:hAnsi="仿宋_GB2312"/>
          <w:color w:val="000000"/>
          <w:szCs w:val="32"/>
        </w:rPr>
        <w:t>本次自评的目的是了解我单位2018年度财政资金预算支出的绩效状况，为今后预算安排提供决策支持。进一步增强本单位支出管理的责任，优化支出结构，提升预算管理水平，总结经验，为改善单位管理、为纠正目标与实际的偏差提供依据。</w:t>
      </w:r>
    </w:p>
    <w:p>
      <w:pPr>
        <w:topLinePunct/>
        <w:ind w:firstLine="594" w:firstLineChars="200"/>
        <w:rPr>
          <w:rFonts w:hint="eastAsia" w:ascii="仿宋_GB2312" w:hAnsi="仿宋_GB2312"/>
          <w:color w:val="000000"/>
          <w:szCs w:val="32"/>
        </w:rPr>
      </w:pPr>
      <w:r>
        <w:rPr>
          <w:rFonts w:hint="eastAsia" w:ascii="仿宋_GB2312" w:hAnsi="仿宋_GB2312"/>
          <w:color w:val="000000"/>
          <w:szCs w:val="32"/>
        </w:rPr>
        <w:t>（二）绩效评价工作过程，主要包括前期准备、组织实施和分析评价等内容。</w:t>
      </w:r>
    </w:p>
    <w:p>
      <w:pPr>
        <w:keepNext w:val="0"/>
        <w:keepLines w:val="0"/>
        <w:pageBreakBefore w:val="0"/>
        <w:widowControl w:val="0"/>
        <w:kinsoku/>
        <w:wordWrap/>
        <w:overflowPunct/>
        <w:topLinePunct/>
        <w:autoSpaceDE/>
        <w:autoSpaceDN/>
        <w:bidi w:val="0"/>
        <w:adjustRightInd/>
        <w:snapToGrid/>
        <w:spacing w:line="520" w:lineRule="exact"/>
        <w:ind w:firstLine="594" w:firstLineChars="200"/>
        <w:textAlignment w:val="auto"/>
        <w:rPr>
          <w:rFonts w:hint="eastAsia" w:ascii="仿宋_GB2312" w:hAnsi="仿宋_GB2312"/>
          <w:color w:val="000000"/>
          <w:szCs w:val="32"/>
        </w:rPr>
      </w:pPr>
      <w:r>
        <w:rPr>
          <w:rFonts w:hint="eastAsia" w:ascii="仿宋_GB2312" w:hAnsi="仿宋_GB2312"/>
          <w:color w:val="000000"/>
          <w:szCs w:val="32"/>
        </w:rPr>
        <w:t>根据呈财〔2019〕21号+关于开展2018年度区级预算支出绩效自评工作的通知等相关文件要求，制定了部门整体支出绩效评价的工作方案，认真开展自评工作。单位组成绩效评价工作小组，</w:t>
      </w:r>
      <w:r>
        <w:rPr>
          <w:rFonts w:hint="eastAsia" w:ascii="仿宋_GB2312" w:hAnsi="仿宋_GB2312" w:cs="仿宋_GB2312"/>
          <w:szCs w:val="32"/>
        </w:rPr>
        <w:t>建立了由所长为组长2名员工为成员的评价工作组，</w:t>
      </w:r>
      <w:r>
        <w:rPr>
          <w:rFonts w:hint="eastAsia" w:ascii="仿宋_GB2312" w:hAnsi="仿宋_GB2312"/>
          <w:color w:val="000000"/>
          <w:szCs w:val="32"/>
        </w:rPr>
        <w:t>由局长牵头，各小组成员集中对预算支出各个环节工作进行评价。找出问题，制定改进办法。绩效评价工作主要如下：</w:t>
      </w:r>
    </w:p>
    <w:p>
      <w:pPr>
        <w:topLinePunct/>
        <w:ind w:firstLine="594" w:firstLineChars="200"/>
        <w:rPr>
          <w:rFonts w:hint="eastAsia" w:ascii="仿宋_GB2312" w:hAnsi="仿宋_GB2312"/>
          <w:color w:val="000000"/>
          <w:szCs w:val="32"/>
        </w:rPr>
      </w:pPr>
      <w:r>
        <w:rPr>
          <w:rFonts w:hint="eastAsia" w:ascii="仿宋_GB2312" w:hAnsi="仿宋_GB2312"/>
          <w:color w:val="000000"/>
          <w:szCs w:val="32"/>
        </w:rPr>
        <w:t xml:space="preserve"> 1.核实数据。对2018年度部门整体支出数据的准确性、真实性进行核实，将2018年度和2017年度部门整体支出情况进行比较分析。</w:t>
      </w:r>
    </w:p>
    <w:p>
      <w:pPr>
        <w:topLinePunct/>
        <w:ind w:firstLine="594" w:firstLineChars="200"/>
        <w:rPr>
          <w:rFonts w:hint="eastAsia" w:ascii="仿宋_GB2312" w:hAnsi="仿宋_GB2312"/>
          <w:color w:val="000000"/>
          <w:szCs w:val="32"/>
        </w:rPr>
      </w:pPr>
      <w:r>
        <w:rPr>
          <w:rFonts w:hint="eastAsia" w:ascii="仿宋_GB2312" w:hAnsi="仿宋_GB2312"/>
          <w:color w:val="000000"/>
          <w:szCs w:val="32"/>
        </w:rPr>
        <w:t>2.查阅资料。查阅2018年度预算安排、预算追加、资金管理、经费支出、资产管理等相关文件资料和财务凭证。</w:t>
      </w:r>
    </w:p>
    <w:p>
      <w:pPr>
        <w:topLinePunct/>
        <w:ind w:firstLine="594" w:firstLineChars="200"/>
        <w:rPr>
          <w:rFonts w:hint="eastAsia" w:ascii="仿宋_GB2312" w:hAnsi="仿宋_GB2312"/>
          <w:color w:val="000000"/>
          <w:szCs w:val="32"/>
        </w:rPr>
      </w:pPr>
      <w:r>
        <w:rPr>
          <w:rFonts w:hint="eastAsia" w:ascii="仿宋_GB2312" w:hAnsi="仿宋_GB2312"/>
          <w:color w:val="000000"/>
          <w:szCs w:val="32"/>
        </w:rPr>
        <w:t>3.归纳汇总。对收集的评价材料结合本单位情况进行综合分析、归纳汇总。</w:t>
      </w:r>
    </w:p>
    <w:p>
      <w:pPr>
        <w:topLinePunct/>
        <w:ind w:firstLine="594" w:firstLineChars="200"/>
        <w:rPr>
          <w:rFonts w:hint="eastAsia" w:ascii="仿宋_GB2312" w:hAnsi="仿宋_GB2312"/>
          <w:color w:val="000000"/>
          <w:szCs w:val="32"/>
        </w:rPr>
      </w:pPr>
      <w:r>
        <w:rPr>
          <w:rFonts w:hint="eastAsia" w:ascii="仿宋_GB2312" w:hAnsi="仿宋_GB2312"/>
          <w:color w:val="000000"/>
          <w:szCs w:val="32"/>
        </w:rPr>
        <w:t>4.根据评价材料结合各项评价指标进行分析评分。</w:t>
      </w:r>
    </w:p>
    <w:p>
      <w:pPr>
        <w:topLinePunct/>
        <w:ind w:firstLine="594" w:firstLineChars="200"/>
        <w:rPr>
          <w:rFonts w:hint="eastAsia" w:ascii="仿宋_GB2312" w:hAnsi="仿宋_GB2312"/>
          <w:color w:val="000000"/>
          <w:szCs w:val="32"/>
        </w:rPr>
      </w:pPr>
      <w:r>
        <w:rPr>
          <w:rFonts w:hint="eastAsia" w:ascii="仿宋_GB2312" w:hAnsi="仿宋_GB2312"/>
          <w:color w:val="000000"/>
          <w:szCs w:val="32"/>
        </w:rPr>
        <w:t>5.形成绩效评价自评报告。</w:t>
      </w:r>
    </w:p>
    <w:p>
      <w:pPr>
        <w:topLinePunct/>
        <w:ind w:firstLine="594" w:firstLineChars="200"/>
        <w:rPr>
          <w:rFonts w:ascii="黑体" w:eastAsia="黑体"/>
          <w:szCs w:val="32"/>
        </w:rPr>
      </w:pPr>
      <w:r>
        <w:rPr>
          <w:rFonts w:hint="eastAsia" w:ascii="黑体" w:eastAsia="黑体"/>
          <w:szCs w:val="32"/>
        </w:rPr>
        <w:t>三、主要绩效及评价结论</w:t>
      </w:r>
    </w:p>
    <w:p>
      <w:pPr>
        <w:keepNext w:val="0"/>
        <w:keepLines w:val="0"/>
        <w:pageBreakBefore w:val="0"/>
        <w:widowControl w:val="0"/>
        <w:kinsoku/>
        <w:wordWrap/>
        <w:overflowPunct/>
        <w:autoSpaceDE/>
        <w:autoSpaceDN/>
        <w:bidi w:val="0"/>
        <w:adjustRightInd/>
        <w:snapToGrid/>
        <w:spacing w:line="520" w:lineRule="exact"/>
        <w:ind w:firstLine="526" w:firstLineChars="177"/>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一、文物修缮工作</w:t>
      </w:r>
    </w:p>
    <w:p>
      <w:pPr>
        <w:keepNext w:val="0"/>
        <w:keepLines w:val="0"/>
        <w:pageBreakBefore w:val="0"/>
        <w:widowControl w:val="0"/>
        <w:kinsoku/>
        <w:wordWrap/>
        <w:overflowPunct/>
        <w:autoSpaceDE/>
        <w:autoSpaceDN/>
        <w:bidi w:val="0"/>
        <w:adjustRightInd/>
        <w:snapToGrid/>
        <w:spacing w:line="520" w:lineRule="exact"/>
        <w:ind w:firstLine="526" w:firstLineChars="177"/>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（一）下可乐来青寺修缮，今年3月底进场施工，计划年内完成修缮工作。已完成修缮</w:t>
      </w:r>
    </w:p>
    <w:p>
      <w:pPr>
        <w:keepNext w:val="0"/>
        <w:keepLines w:val="0"/>
        <w:pageBreakBefore w:val="0"/>
        <w:widowControl w:val="0"/>
        <w:kinsoku/>
        <w:wordWrap/>
        <w:overflowPunct/>
        <w:autoSpaceDE/>
        <w:autoSpaceDN/>
        <w:bidi w:val="0"/>
        <w:adjustRightInd/>
        <w:snapToGrid/>
        <w:spacing w:line="520" w:lineRule="exact"/>
        <w:ind w:firstLine="526" w:firstLineChars="17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（二）昌氏民居、杨氏民居两项文物修缮完成。</w:t>
      </w:r>
    </w:p>
    <w:p>
      <w:pPr>
        <w:keepNext w:val="0"/>
        <w:keepLines w:val="0"/>
        <w:pageBreakBefore w:val="0"/>
        <w:widowControl w:val="0"/>
        <w:kinsoku/>
        <w:wordWrap/>
        <w:overflowPunct/>
        <w:autoSpaceDE/>
        <w:autoSpaceDN/>
        <w:bidi w:val="0"/>
        <w:adjustRightInd/>
        <w:snapToGrid/>
        <w:spacing w:line="52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（三）聚秀寺迁移重建，确定迁建新址，完成新址地勘、基础设计、土方开挖清运场地平整、聚秀寺石脚基础开挖、新址水电新装。完成工程总量10%。</w:t>
      </w:r>
    </w:p>
    <w:p>
      <w:pPr>
        <w:keepNext w:val="0"/>
        <w:keepLines w:val="0"/>
        <w:pageBreakBefore w:val="0"/>
        <w:widowControl w:val="0"/>
        <w:kinsoku/>
        <w:wordWrap/>
        <w:overflowPunct/>
        <w:autoSpaceDE/>
        <w:autoSpaceDN/>
        <w:bidi w:val="0"/>
        <w:adjustRightInd/>
        <w:snapToGrid/>
        <w:spacing w:line="52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（四）文庙大成门恢复重建，目前完成主体建筑大木构制作组装立架后油饰、木构制作安装，地坪清理、大成门彩绘、主体建筑室内地坪铺设。天井地幔铺设及树池支砌、旅游厕所基础开挖，已完成。</w:t>
      </w:r>
    </w:p>
    <w:p>
      <w:pPr>
        <w:keepNext w:val="0"/>
        <w:keepLines w:val="0"/>
        <w:pageBreakBefore w:val="0"/>
        <w:widowControl w:val="0"/>
        <w:kinsoku/>
        <w:wordWrap/>
        <w:overflowPunct/>
        <w:autoSpaceDE/>
        <w:autoSpaceDN/>
        <w:bidi w:val="0"/>
        <w:adjustRightInd/>
        <w:snapToGrid/>
        <w:spacing w:line="520" w:lineRule="exact"/>
        <w:ind w:firstLine="594"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（五）郎家营凤鸣寺修缮设计，8月2日完成了维修勘察设计方案专家论证。目前设计方对方案进行修改完善中。</w:t>
      </w:r>
    </w:p>
    <w:p>
      <w:pPr>
        <w:keepNext w:val="0"/>
        <w:keepLines w:val="0"/>
        <w:pageBreakBefore w:val="0"/>
        <w:widowControl w:val="0"/>
        <w:kinsoku/>
        <w:wordWrap/>
        <w:overflowPunct/>
        <w:autoSpaceDE/>
        <w:autoSpaceDN/>
        <w:bidi w:val="0"/>
        <w:adjustRightInd/>
        <w:snapToGrid/>
        <w:spacing w:line="520" w:lineRule="exact"/>
        <w:ind w:firstLine="59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殷联阁楼修缮、七步场庆符寺修缮、洛龙香条村兴隆庵修缮、吴家营五谷寺修缮等文物建筑的监督指导工作。殷联阁楼已完成修缮设计方案，待举行专家论证；七步场庆符寺修缮已对接街道办事处协助进行设计单位对接工作，现设计单位正与街道协商方案设计工作；洛龙香条村兴隆庵已拟请示上报政府要求修缮，要求修缮经费补助34万元，待政府批复；5月29日结合今年人大建议政协提案办理与洛龙街道分管领导、社区主任对该项文物建筑再次到洛龙香条村兴隆庵实地查看，下一步进行修缮方案评审； 吴家营五谷寺修缮，正按照今年人大建议五谷寺搬迁选址的意见，完成了建议办理工作。</w:t>
      </w:r>
    </w:p>
    <w:p>
      <w:pPr>
        <w:keepNext w:val="0"/>
        <w:keepLines w:val="0"/>
        <w:pageBreakBefore w:val="0"/>
        <w:widowControl w:val="0"/>
        <w:kinsoku/>
        <w:wordWrap/>
        <w:overflowPunct/>
        <w:autoSpaceDE/>
        <w:autoSpaceDN/>
        <w:bidi w:val="0"/>
        <w:adjustRightInd/>
        <w:snapToGrid/>
        <w:spacing w:line="520" w:lineRule="exact"/>
        <w:ind w:firstLine="594"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二、民俗博物馆展览布置,已于今年10月8日正式进场开展布展工作，计划年内完成布展工作。</w:t>
      </w:r>
    </w:p>
    <w:p>
      <w:pPr>
        <w:keepNext w:val="0"/>
        <w:keepLines w:val="0"/>
        <w:pageBreakBefore w:val="0"/>
        <w:widowControl w:val="0"/>
        <w:kinsoku/>
        <w:wordWrap/>
        <w:overflowPunct/>
        <w:autoSpaceDE/>
        <w:autoSpaceDN/>
        <w:bidi w:val="0"/>
        <w:adjustRightInd/>
        <w:snapToGrid/>
        <w:spacing w:line="520" w:lineRule="exact"/>
        <w:ind w:firstLine="59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kern w:val="0"/>
          <w:sz w:val="32"/>
          <w:szCs w:val="32"/>
        </w:rPr>
        <w:t>呈贡区文物保护利用规划编制工作。现已初拟规划范围内容和规划深度要求。该工作正在进行中。</w:t>
      </w:r>
    </w:p>
    <w:p>
      <w:pPr>
        <w:keepNext w:val="0"/>
        <w:keepLines w:val="0"/>
        <w:pageBreakBefore w:val="0"/>
        <w:widowControl w:val="0"/>
        <w:kinsoku/>
        <w:wordWrap/>
        <w:overflowPunct/>
        <w:autoSpaceDE/>
        <w:autoSpaceDN/>
        <w:bidi w:val="0"/>
        <w:adjustRightInd/>
        <w:snapToGrid/>
        <w:spacing w:line="520" w:lineRule="exact"/>
        <w:ind w:firstLine="594"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四、完成冰心默庐升级改造、魁阁长廊展览工作。</w:t>
      </w:r>
    </w:p>
    <w:p>
      <w:pPr>
        <w:keepNext w:val="0"/>
        <w:keepLines w:val="0"/>
        <w:pageBreakBefore w:val="0"/>
        <w:widowControl w:val="0"/>
        <w:kinsoku/>
        <w:wordWrap/>
        <w:overflowPunct/>
        <w:autoSpaceDE/>
        <w:autoSpaceDN/>
        <w:bidi w:val="0"/>
        <w:adjustRightInd/>
        <w:snapToGrid/>
        <w:spacing w:line="520" w:lineRule="exact"/>
        <w:ind w:firstLine="657" w:firstLineChars="22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完成2018年人大代表建议3项、政协提案7项。争取政协提案办理经费和人大建议办理经费支持，逐步有计划的对亟待抢救排险加固和局部修缮的一般不可移动文物建筑、民居建筑、历史建筑进行日常养护、抢救维修、合理利用。</w:t>
      </w:r>
    </w:p>
    <w:p>
      <w:pPr>
        <w:keepNext w:val="0"/>
        <w:keepLines w:val="0"/>
        <w:pageBreakBefore w:val="0"/>
        <w:widowControl w:val="0"/>
        <w:kinsoku/>
        <w:wordWrap/>
        <w:overflowPunct/>
        <w:autoSpaceDE/>
        <w:autoSpaceDN/>
        <w:bidi w:val="0"/>
        <w:adjustRightInd/>
        <w:snapToGrid/>
        <w:spacing w:line="520" w:lineRule="exact"/>
        <w:ind w:firstLine="657" w:firstLineChars="221"/>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六、王家营明墓群保护利用。已按照文物保护“四有”规定和区委、区政府要求上报区政府要求拨出专款47万元，用于建盖管理用户、设置专人看护、在保护范围四个角上打保护范围界桩。待政府拨批。</w:t>
      </w:r>
    </w:p>
    <w:p>
      <w:pPr>
        <w:keepNext w:val="0"/>
        <w:keepLines w:val="0"/>
        <w:pageBreakBefore w:val="0"/>
        <w:widowControl w:val="0"/>
        <w:kinsoku/>
        <w:wordWrap/>
        <w:overflowPunct/>
        <w:autoSpaceDE/>
        <w:autoSpaceDN/>
        <w:bidi w:val="0"/>
        <w:adjustRightInd/>
        <w:snapToGrid/>
        <w:spacing w:line="520" w:lineRule="exact"/>
        <w:ind w:firstLine="657" w:firstLineChars="221"/>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文物建筑安全工作。2018年初，与晋宁开展文博单位安全交叉检查。做好日常巡查、季度检查。目前正在联合区公安消防大队、局文化市场中队及六个街道相关人员进行呈贡区博物馆和文物建筑消防安全大检查。</w:t>
      </w:r>
    </w:p>
    <w:p>
      <w:pPr>
        <w:keepNext w:val="0"/>
        <w:keepLines w:val="0"/>
        <w:pageBreakBefore w:val="0"/>
        <w:widowControl w:val="0"/>
        <w:kinsoku/>
        <w:wordWrap/>
        <w:overflowPunct/>
        <w:autoSpaceDE/>
        <w:autoSpaceDN/>
        <w:bidi w:val="0"/>
        <w:adjustRightInd/>
        <w:snapToGrid/>
        <w:spacing w:line="520" w:lineRule="exact"/>
        <w:ind w:firstLine="594"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八、配合做好乌龙历史文化村落保护和旧城改造工作。</w:t>
      </w:r>
    </w:p>
    <w:p>
      <w:pPr>
        <w:topLinePunct/>
        <w:ind w:firstLine="594" w:firstLineChars="200"/>
        <w:rPr>
          <w:rFonts w:hint="eastAsia" w:ascii="仿宋_GB2312"/>
          <w:szCs w:val="32"/>
          <w:lang w:val="en-US" w:eastAsia="zh-CN"/>
        </w:rPr>
      </w:pPr>
      <w:r>
        <w:rPr>
          <w:rFonts w:hint="eastAsia" w:ascii="仿宋_GB2312" w:hAnsi="仿宋_GB2312" w:eastAsia="仿宋_GB2312" w:cs="仿宋_GB2312"/>
          <w:sz w:val="32"/>
          <w:szCs w:val="32"/>
        </w:rPr>
        <w:t>九、做好冰心默庐、大古城魁阁、张天虚故居纪念馆免费开放日常对外开放参观和文庙儒学博物馆筹备工作。冰心默庐、大古城魁阁、张天虚故居在清明祭扫、我们的节日、博物馆日，接待省市民进、民盟、统战、宣传和区各部门、驻呈院校、区中小学参观近万人次。社会反响良好。积极做好创建文明城市工作，</w:t>
      </w:r>
    </w:p>
    <w:p>
      <w:pPr>
        <w:topLinePunct/>
        <w:ind w:firstLine="594" w:firstLineChars="200"/>
        <w:rPr>
          <w:rFonts w:ascii="黑体" w:eastAsia="黑体"/>
          <w:szCs w:val="32"/>
        </w:rPr>
      </w:pPr>
      <w:r>
        <w:rPr>
          <w:rFonts w:hint="eastAsia" w:ascii="黑体" w:eastAsia="黑体"/>
          <w:szCs w:val="32"/>
        </w:rPr>
        <w:t>四、存在的问题</w:t>
      </w:r>
    </w:p>
    <w:p>
      <w:pPr>
        <w:keepNext w:val="0"/>
        <w:keepLines w:val="0"/>
        <w:pageBreakBefore w:val="0"/>
        <w:widowControl w:val="0"/>
        <w:kinsoku/>
        <w:wordWrap/>
        <w:overflowPunct/>
        <w:topLinePunct/>
        <w:autoSpaceDE/>
        <w:autoSpaceDN/>
        <w:bidi w:val="0"/>
        <w:adjustRightInd/>
        <w:snapToGrid/>
        <w:spacing w:line="520" w:lineRule="exact"/>
        <w:ind w:firstLine="594" w:firstLineChars="200"/>
        <w:textAlignment w:val="auto"/>
        <w:rPr>
          <w:rFonts w:ascii="仿宋_GB2312" w:hAnsi="仿宋_GB2312" w:cs="仿宋_GB2312"/>
          <w:color w:val="000000"/>
          <w:szCs w:val="32"/>
        </w:rPr>
      </w:pPr>
      <w:r>
        <w:rPr>
          <w:rFonts w:hint="eastAsia" w:ascii="仿宋_GB2312" w:hAnsi="仿宋_GB2312" w:eastAsia="仿宋_GB2312" w:cs="仿宋_GB2312"/>
          <w:szCs w:val="32"/>
        </w:rPr>
        <w:t>因文物管理所人员少、工作量大，加之今年创建全国文物城市工作要求影响了正常的工作开展，致使部份资金支付没有及时按进度完成，在明年的工作中我所将提前谋划，做好各项经费的支出，确保完成进度。</w:t>
      </w:r>
    </w:p>
    <w:p>
      <w:pPr>
        <w:topLinePunct/>
        <w:ind w:firstLine="594" w:firstLineChars="200"/>
        <w:rPr>
          <w:rFonts w:ascii="黑体" w:eastAsia="黑体"/>
          <w:szCs w:val="32"/>
        </w:rPr>
      </w:pPr>
      <w:r>
        <w:rPr>
          <w:rFonts w:hint="eastAsia" w:ascii="黑体" w:eastAsia="黑体"/>
          <w:szCs w:val="32"/>
        </w:rPr>
        <w:t>五、有关建议</w:t>
      </w:r>
    </w:p>
    <w:p>
      <w:pPr>
        <w:topLinePunct/>
        <w:ind w:firstLine="594" w:firstLineChars="200"/>
        <w:rPr>
          <w:rFonts w:ascii="黑体" w:eastAsia="黑体"/>
          <w:szCs w:val="32"/>
        </w:rPr>
      </w:pPr>
      <w:r>
        <w:rPr>
          <w:rFonts w:hint="eastAsia" w:ascii="仿宋_GB2312" w:hAnsi="宋体" w:cs="宋体"/>
          <w:color w:val="000000"/>
          <w:kern w:val="0"/>
          <w:szCs w:val="32"/>
        </w:rPr>
        <w:t>（</w:t>
      </w:r>
      <w:r>
        <w:rPr>
          <w:rFonts w:eastAsia="宋体"/>
          <w:color w:val="000000"/>
          <w:kern w:val="0"/>
          <w:szCs w:val="32"/>
        </w:rPr>
        <w:t>1</w:t>
      </w:r>
      <w:r>
        <w:rPr>
          <w:rFonts w:hint="eastAsia" w:ascii="仿宋_GB2312" w:hAnsi="宋体" w:cs="宋体"/>
          <w:color w:val="000000"/>
          <w:kern w:val="0"/>
          <w:szCs w:val="32"/>
        </w:rPr>
        <w:t>）建议加强政策学习，提高思想认识。组织相关人员认真学习《预算法》等相关法规、制度，提高单位领导对全面预算管理的重视程度，增强财务人员的预算意识，坚持先有预算、后有支出，没有预算不得支出。</w:t>
      </w:r>
    </w:p>
    <w:p>
      <w:pPr>
        <w:topLinePunct/>
        <w:ind w:firstLine="594" w:firstLineChars="200"/>
        <w:rPr>
          <w:rFonts w:ascii="黑体" w:eastAsia="黑体"/>
          <w:szCs w:val="32"/>
        </w:rPr>
      </w:pPr>
      <w:r>
        <w:rPr>
          <w:rFonts w:hint="eastAsia" w:ascii="仿宋_GB2312" w:hAnsi="宋体" w:cs="宋体"/>
          <w:color w:val="000000"/>
          <w:kern w:val="0"/>
          <w:szCs w:val="32"/>
        </w:rPr>
        <w:t>（</w:t>
      </w:r>
      <w:r>
        <w:rPr>
          <w:rFonts w:eastAsia="宋体"/>
          <w:color w:val="000000"/>
          <w:spacing w:val="-2"/>
          <w:kern w:val="0"/>
          <w:szCs w:val="32"/>
        </w:rPr>
        <w:t>2</w:t>
      </w:r>
      <w:r>
        <w:rPr>
          <w:rFonts w:hint="eastAsia" w:ascii="仿宋_GB2312" w:hAnsi="宋体" w:cs="宋体"/>
          <w:color w:val="000000"/>
          <w:spacing w:val="-2"/>
          <w:kern w:val="0"/>
          <w:szCs w:val="32"/>
        </w:rPr>
        <w:t>）建议细化预算指标，提高预算科学性。预算编制前根据年度内单位可预见的工作任务，确定单位年度预算目标，细化预算指标，科学合理编制部门预算，推进预算编制科学化、准确化。年度预算编制后，根据实际情况，定期做好预算执行分析，掌握预算执行进度，及时找出预算实际执行情况与预算目标之间存在的差距，纠正偏差，为下一次科学、准确地编制部门预算积累经验。</w:t>
      </w:r>
    </w:p>
    <w:p>
      <w:pPr>
        <w:topLinePunct/>
        <w:ind w:firstLine="594" w:firstLineChars="200"/>
        <w:rPr>
          <w:rFonts w:ascii="黑体" w:eastAsia="黑体"/>
          <w:szCs w:val="32"/>
        </w:rPr>
      </w:pPr>
      <w:r>
        <w:rPr>
          <w:rFonts w:hint="eastAsia" w:ascii="黑体" w:eastAsia="黑体"/>
          <w:szCs w:val="32"/>
        </w:rPr>
        <w:t>六、其他需要说明的问题</w:t>
      </w:r>
    </w:p>
    <w:p>
      <w:pPr>
        <w:topLinePunct/>
        <w:rPr>
          <w:rFonts w:ascii="黑体" w:eastAsia="黑体"/>
          <w:szCs w:val="32"/>
        </w:rPr>
      </w:pPr>
    </w:p>
    <w:p>
      <w:pPr>
        <w:ind w:right="594"/>
        <w:jc w:val="right"/>
        <w:rPr>
          <w:rFonts w:hint="eastAsia" w:ascii="仿宋_GB2312"/>
          <w:bCs/>
          <w:szCs w:val="32"/>
        </w:rPr>
      </w:pPr>
    </w:p>
    <w:p>
      <w:pPr>
        <w:ind w:right="594"/>
        <w:jc w:val="right"/>
        <w:rPr>
          <w:rFonts w:ascii="仿宋_GB2312"/>
          <w:bCs/>
          <w:szCs w:val="32"/>
        </w:rPr>
      </w:pPr>
      <w:r>
        <w:rPr>
          <w:rFonts w:hint="eastAsia" w:ascii="仿宋_GB2312"/>
          <w:bCs/>
          <w:szCs w:val="32"/>
        </w:rPr>
        <w:t>昆明市呈贡区</w:t>
      </w:r>
      <w:r>
        <w:rPr>
          <w:rFonts w:hint="eastAsia" w:ascii="仿宋_GB2312"/>
          <w:bCs/>
          <w:szCs w:val="32"/>
          <w:lang w:eastAsia="zh-CN"/>
        </w:rPr>
        <w:t>文物管理所</w:t>
      </w:r>
    </w:p>
    <w:p>
      <w:pPr>
        <w:ind w:right="592"/>
        <w:jc w:val="center"/>
      </w:pPr>
      <w:r>
        <w:rPr>
          <w:rFonts w:hint="eastAsia" w:ascii="仿宋_GB2312"/>
          <w:bCs/>
          <w:szCs w:val="32"/>
        </w:rPr>
        <w:t xml:space="preserve">                              2018年3月14日</w:t>
      </w:r>
    </w:p>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D3CD5F"/>
    <w:multiLevelType w:val="singleLevel"/>
    <w:tmpl w:val="70D3CD5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C9A"/>
    <w:rsid w:val="004D7E74"/>
    <w:rsid w:val="007344F9"/>
    <w:rsid w:val="00843EFC"/>
    <w:rsid w:val="008A614A"/>
    <w:rsid w:val="00A24AD1"/>
    <w:rsid w:val="00AC07E4"/>
    <w:rsid w:val="00B831B5"/>
    <w:rsid w:val="00BC7913"/>
    <w:rsid w:val="00CA7C9A"/>
    <w:rsid w:val="00CD77B2"/>
    <w:rsid w:val="00E051B2"/>
    <w:rsid w:val="00F4336B"/>
    <w:rsid w:val="065C710A"/>
    <w:rsid w:val="0BEF4C6D"/>
    <w:rsid w:val="0D4601CB"/>
    <w:rsid w:val="129A24AE"/>
    <w:rsid w:val="17F573A2"/>
    <w:rsid w:val="1A055A28"/>
    <w:rsid w:val="1C694512"/>
    <w:rsid w:val="1DD24A31"/>
    <w:rsid w:val="2A852253"/>
    <w:rsid w:val="3BC21551"/>
    <w:rsid w:val="40B2169B"/>
    <w:rsid w:val="411B32C9"/>
    <w:rsid w:val="54FD630E"/>
    <w:rsid w:val="5D8D63F0"/>
    <w:rsid w:val="6025150A"/>
    <w:rsid w:val="634B3A10"/>
    <w:rsid w:val="6DBE2E6B"/>
    <w:rsid w:val="6DD80319"/>
    <w:rsid w:val="6E174036"/>
    <w:rsid w:val="71516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仿宋_GB2312"/>
      <w:kern w:val="2"/>
      <w:sz w:val="18"/>
      <w:szCs w:val="18"/>
    </w:rPr>
  </w:style>
  <w:style w:type="character" w:customStyle="1" w:styleId="7">
    <w:name w:val="页脚 Char"/>
    <w:basedOn w:val="5"/>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3045</Words>
  <Characters>17363</Characters>
  <Lines>144</Lines>
  <Paragraphs>40</Paragraphs>
  <TotalTime>8</TotalTime>
  <ScaleCrop>false</ScaleCrop>
  <LinksUpToDate>false</LinksUpToDate>
  <CharactersWithSpaces>20368</CharactersWithSpaces>
  <Application>WPS Office_11.1.0.8751_F1E327BC-269C-435d-A152-05C5408002CA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凌翔</cp:lastModifiedBy>
  <dcterms:modified xsi:type="dcterms:W3CDTF">2019-05-29T08:40:11Z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2052-11.1.0.8751</vt:lpwstr>
  </property>
</Properties>
</file>