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8D" w:rsidRDefault="00F1775E" w:rsidP="00746BD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昆明市呈贡区教育</w:t>
      </w:r>
      <w:r w:rsidR="0016087B">
        <w:rPr>
          <w:rFonts w:ascii="方正小标宋简体" w:eastAsia="方正小标宋简体" w:hAnsi="方正小标宋简体" w:hint="eastAsia"/>
          <w:sz w:val="44"/>
          <w:szCs w:val="44"/>
        </w:rPr>
        <w:t>体育</w:t>
      </w:r>
      <w:r>
        <w:rPr>
          <w:rFonts w:ascii="方正小标宋简体" w:eastAsia="方正小标宋简体" w:hAnsi="方正小标宋简体" w:hint="eastAsia"/>
          <w:sz w:val="44"/>
          <w:szCs w:val="44"/>
        </w:rPr>
        <w:t>局关于昆明世青国际学校教师住房补助项目支出绩效报告</w:t>
      </w:r>
    </w:p>
    <w:p w:rsidR="0075798D" w:rsidRDefault="0075798D" w:rsidP="00746BD1">
      <w:pPr>
        <w:adjustRightInd w:val="0"/>
        <w:snapToGrid w:val="0"/>
        <w:spacing w:line="600" w:lineRule="exact"/>
        <w:ind w:firstLine="596"/>
        <w:rPr>
          <w:rFonts w:ascii="仿宋_GB2312" w:hAnsi="仿宋_GB2312"/>
          <w:b/>
          <w:szCs w:val="32"/>
        </w:rPr>
      </w:pPr>
    </w:p>
    <w:p w:rsidR="0075798D" w:rsidRDefault="00F1775E" w:rsidP="00746BD1">
      <w:pPr>
        <w:tabs>
          <w:tab w:val="left" w:pos="5346"/>
        </w:tabs>
        <w:adjustRightInd w:val="0"/>
        <w:snapToGrid w:val="0"/>
        <w:spacing w:line="600" w:lineRule="exact"/>
        <w:ind w:firstLine="593"/>
        <w:rPr>
          <w:rFonts w:ascii="仿宋_GB2312" w:hAnsi="仿宋_GB2312"/>
          <w:b/>
          <w:szCs w:val="32"/>
        </w:rPr>
      </w:pPr>
      <w:r>
        <w:rPr>
          <w:rFonts w:ascii="仿宋_GB2312" w:hAnsi="仿宋_GB2312" w:hint="eastAsia"/>
          <w:b/>
          <w:szCs w:val="32"/>
        </w:rPr>
        <w:t>一、基本情况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 w:cs="楷体"/>
          <w:szCs w:val="32"/>
          <w:shd w:val="clear" w:color="auto" w:fill="FFFFFF"/>
        </w:rPr>
      </w:pPr>
      <w:r>
        <w:rPr>
          <w:rFonts w:ascii="仿宋_GB2312" w:hAnsi="仿宋_GB2312" w:cs="楷体" w:hint="eastAsia"/>
          <w:szCs w:val="32"/>
          <w:shd w:val="clear" w:color="auto" w:fill="FFFFFF"/>
        </w:rPr>
        <w:t>为提升呈贡区优质教育资源，把呈贡区建设成为现代化科教创新新城，呈贡区在推进基础教育优质均衡发展的基础上，积极探索，推动教育国际化发展，打造未来昆明的国际化教育高地。依据《昆明市加快推进教育国际化发展的指导意见》文件精神，2016年4月由昆明市教育局、呈贡区人民政府引进北京优质国际教育资源，与北京世青国际学校三方合作兴办昆明世青国际学校。引入国际化办学机制，加强国际学校建设。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 w:cs="楷体"/>
          <w:szCs w:val="32"/>
          <w:shd w:val="clear" w:color="auto" w:fill="FFFFFF"/>
        </w:rPr>
      </w:pPr>
      <w:r>
        <w:rPr>
          <w:rFonts w:ascii="仿宋_GB2312" w:hAnsi="仿宋_GB2312" w:cs="楷体" w:hint="eastAsia"/>
          <w:szCs w:val="32"/>
          <w:shd w:val="clear" w:color="auto" w:fill="FFFFFF"/>
        </w:rPr>
        <w:t>为支持学校创办初期的建设与发展，三方在《合作办学协议》中约定：学校办学过渡期内(前3年),呈贡区人民政府向学校教师提供住房补助，即从办学之日起，按每年总额20万元人民币给付学校所有教师住房补助，三年后由乙方自行解决。201</w:t>
      </w:r>
      <w:r w:rsidR="00875B29">
        <w:rPr>
          <w:rFonts w:ascii="仿宋_GB2312" w:hAnsi="仿宋_GB2312" w:cs="楷体" w:hint="eastAsia"/>
          <w:szCs w:val="32"/>
          <w:shd w:val="clear" w:color="auto" w:fill="FFFFFF"/>
        </w:rPr>
        <w:t>8</w:t>
      </w:r>
      <w:r>
        <w:rPr>
          <w:rFonts w:ascii="仿宋_GB2312" w:hAnsi="仿宋_GB2312" w:cs="楷体" w:hint="eastAsia"/>
          <w:szCs w:val="32"/>
          <w:shd w:val="clear" w:color="auto" w:fill="FFFFFF"/>
        </w:rPr>
        <w:t>年为呈贡区人民政府与北京世青国际学校合作办学第</w:t>
      </w:r>
      <w:r w:rsidR="00875B29">
        <w:rPr>
          <w:rFonts w:ascii="仿宋_GB2312" w:hAnsi="仿宋_GB2312" w:cs="楷体" w:hint="eastAsia"/>
          <w:szCs w:val="32"/>
          <w:shd w:val="clear" w:color="auto" w:fill="FFFFFF"/>
        </w:rPr>
        <w:t>三</w:t>
      </w:r>
      <w:r>
        <w:rPr>
          <w:rFonts w:ascii="仿宋_GB2312" w:hAnsi="仿宋_GB2312" w:cs="楷体" w:hint="eastAsia"/>
          <w:szCs w:val="32"/>
          <w:shd w:val="clear" w:color="auto" w:fill="FFFFFF"/>
        </w:rPr>
        <w:t>年，按照协议约定，区政府给予学校20万元教师住房补助。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 w:cs="楷体"/>
          <w:szCs w:val="32"/>
          <w:shd w:val="clear" w:color="auto" w:fill="FFFFFF"/>
        </w:rPr>
      </w:pPr>
      <w:r>
        <w:rPr>
          <w:rFonts w:ascii="仿宋_GB2312" w:hAnsi="仿宋_GB2312" w:hint="eastAsia"/>
          <w:b/>
          <w:szCs w:val="32"/>
        </w:rPr>
        <w:t>二、项目单位绩效报告情况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 w:cs="楷体"/>
          <w:szCs w:val="32"/>
          <w:shd w:val="clear" w:color="auto" w:fill="FFFFFF"/>
        </w:rPr>
      </w:pPr>
      <w:r>
        <w:rPr>
          <w:rFonts w:ascii="仿宋_GB2312" w:hAnsi="仿宋_GB2312" w:cs="楷体" w:hint="eastAsia"/>
          <w:szCs w:val="32"/>
          <w:shd w:val="clear" w:color="auto" w:fill="FFFFFF"/>
        </w:rPr>
        <w:t>昆明世青国际学校学校教师住房补助项目年初进行预算，</w:t>
      </w:r>
      <w:r>
        <w:rPr>
          <w:rFonts w:ascii="仿宋_GB2312" w:hAnsi="仿宋_GB2312" w:hint="eastAsia"/>
          <w:szCs w:val="32"/>
        </w:rPr>
        <w:t>201</w:t>
      </w:r>
      <w:r w:rsidR="00875B29">
        <w:rPr>
          <w:rFonts w:ascii="仿宋_GB2312" w:hAnsi="仿宋_GB2312" w:hint="eastAsia"/>
          <w:szCs w:val="32"/>
        </w:rPr>
        <w:t>8</w:t>
      </w:r>
      <w:r>
        <w:rPr>
          <w:rFonts w:ascii="仿宋_GB2312" w:hAnsi="仿宋_GB2312" w:hint="eastAsia"/>
          <w:szCs w:val="32"/>
        </w:rPr>
        <w:t>年呈贡区财政预算安排相关经费20万元，资金到位率</w:t>
      </w:r>
      <w:r>
        <w:rPr>
          <w:rFonts w:ascii="仿宋_GB2312" w:hAnsi="仿宋_GB2312" w:hint="eastAsia"/>
          <w:szCs w:val="32"/>
        </w:rPr>
        <w:lastRenderedPageBreak/>
        <w:t>100％。资金下达后，区教育</w:t>
      </w:r>
      <w:r w:rsidR="0016087B">
        <w:rPr>
          <w:rFonts w:ascii="仿宋_GB2312" w:hAnsi="仿宋_GB2312" w:hint="eastAsia"/>
          <w:szCs w:val="32"/>
        </w:rPr>
        <w:t>体育</w:t>
      </w:r>
      <w:r>
        <w:rPr>
          <w:rFonts w:ascii="仿宋_GB2312" w:hAnsi="仿宋_GB2312" w:hint="eastAsia"/>
          <w:szCs w:val="32"/>
        </w:rPr>
        <w:t>局严格按照预算批复数将专项经费及时、足额拨付到学校，并督促学校加强资金管理，确保专款专用。学校将相关经费用于教师住房补助。截至201</w:t>
      </w:r>
      <w:r w:rsidR="00875B29">
        <w:rPr>
          <w:rFonts w:ascii="仿宋_GB2312" w:hAnsi="仿宋_GB2312" w:hint="eastAsia"/>
          <w:szCs w:val="32"/>
        </w:rPr>
        <w:t>8</w:t>
      </w:r>
      <w:r>
        <w:rPr>
          <w:rFonts w:ascii="仿宋_GB2312" w:hAnsi="仿宋_GB2312" w:hint="eastAsia"/>
          <w:szCs w:val="32"/>
        </w:rPr>
        <w:t>年12月无结转资金，资金使用率100％。</w:t>
      </w:r>
    </w:p>
    <w:p w:rsidR="0075798D" w:rsidRDefault="00F1775E" w:rsidP="00746BD1">
      <w:pPr>
        <w:tabs>
          <w:tab w:val="left" w:pos="5346"/>
        </w:tabs>
        <w:adjustRightInd w:val="0"/>
        <w:snapToGrid w:val="0"/>
        <w:spacing w:line="600" w:lineRule="exact"/>
        <w:ind w:firstLine="593"/>
        <w:rPr>
          <w:rFonts w:ascii="黑体" w:eastAsia="黑体" w:hAnsi="黑体"/>
          <w:szCs w:val="32"/>
        </w:rPr>
      </w:pPr>
      <w:r>
        <w:rPr>
          <w:rFonts w:ascii="仿宋_GB2312" w:hAnsi="仿宋_GB2312" w:hint="eastAsia"/>
          <w:b/>
          <w:szCs w:val="32"/>
        </w:rPr>
        <w:t>三、绩效评价工作情况</w:t>
      </w:r>
      <w:r>
        <w:rPr>
          <w:rFonts w:ascii="黑体" w:eastAsia="黑体" w:hAnsi="黑体" w:hint="eastAsia"/>
          <w:szCs w:val="32"/>
        </w:rPr>
        <w:tab/>
      </w:r>
    </w:p>
    <w:p w:rsidR="0075798D" w:rsidRDefault="00F1775E" w:rsidP="00746BD1">
      <w:pPr>
        <w:widowControl/>
        <w:adjustRightInd w:val="0"/>
        <w:snapToGrid w:val="0"/>
        <w:spacing w:line="600" w:lineRule="exact"/>
        <w:ind w:firstLine="593"/>
        <w:jc w:val="lef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呈贡区委、区政府制定出台了《昆明市呈贡区创新合作办学学校服务和管理的意见（试行）》（</w:t>
      </w:r>
      <w:proofErr w:type="gramStart"/>
      <w:r>
        <w:rPr>
          <w:rFonts w:ascii="仿宋_GB2312" w:hAnsi="仿宋_GB2312" w:hint="eastAsia"/>
          <w:szCs w:val="32"/>
        </w:rPr>
        <w:t>呈通〔2015〕</w:t>
      </w:r>
      <w:proofErr w:type="gramEnd"/>
      <w:r>
        <w:rPr>
          <w:rFonts w:ascii="仿宋_GB2312" w:hAnsi="仿宋_GB2312" w:hint="eastAsia"/>
          <w:szCs w:val="32"/>
        </w:rPr>
        <w:t>16号），加强对合作办学学校的监督指导，进一步规范学校办学行为。</w:t>
      </w:r>
    </w:p>
    <w:p w:rsidR="0075798D" w:rsidRDefault="00F1775E" w:rsidP="00746BD1">
      <w:pPr>
        <w:widowControl/>
        <w:adjustRightInd w:val="0"/>
        <w:snapToGrid w:val="0"/>
        <w:spacing w:line="600" w:lineRule="exact"/>
        <w:ind w:firstLine="629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在经费的收支预算执行过程中，我们严格按照《合作办学协议》，将</w:t>
      </w:r>
      <w:r>
        <w:rPr>
          <w:rFonts w:ascii="仿宋_GB2312" w:hAnsi="仿宋_GB2312" w:cs="楷体" w:hint="eastAsia"/>
          <w:szCs w:val="32"/>
          <w:shd w:val="clear" w:color="auto" w:fill="FFFFFF"/>
        </w:rPr>
        <w:t>昆明世青国际学校教师住房补助项目纳入部门财政资金预算，在财政资金下达后，严格按照</w:t>
      </w:r>
      <w:r>
        <w:rPr>
          <w:rFonts w:ascii="仿宋_GB2312" w:hAnsi="仿宋_GB2312" w:hint="eastAsia"/>
          <w:szCs w:val="32"/>
        </w:rPr>
        <w:t>财政预算批复数将专项经费及时、足额拨付到学校，同时加强对学校项目资金的管理，确保专款专用，充分发挥财政资金的使用效益。学校严格按项目计划和规定用途专款专用，将资金用于</w:t>
      </w:r>
      <w:r>
        <w:rPr>
          <w:rFonts w:ascii="仿宋_GB2312" w:hAnsi="仿宋_GB2312" w:cs="楷体" w:hint="eastAsia"/>
          <w:szCs w:val="32"/>
          <w:shd w:val="clear" w:color="auto" w:fill="FFFFFF"/>
        </w:rPr>
        <w:t>教师住房补助</w:t>
      </w:r>
      <w:r>
        <w:rPr>
          <w:rFonts w:ascii="仿宋_GB2312" w:hAnsi="仿宋_GB2312" w:hint="eastAsia"/>
          <w:szCs w:val="32"/>
        </w:rPr>
        <w:t>，不拖欠、</w:t>
      </w:r>
      <w:proofErr w:type="gramStart"/>
      <w:r>
        <w:rPr>
          <w:rFonts w:ascii="仿宋_GB2312" w:hAnsi="仿宋_GB2312" w:hint="eastAsia"/>
          <w:szCs w:val="32"/>
        </w:rPr>
        <w:t>不</w:t>
      </w:r>
      <w:proofErr w:type="gramEnd"/>
      <w:r>
        <w:rPr>
          <w:rFonts w:ascii="仿宋_GB2312" w:hAnsi="仿宋_GB2312" w:hint="eastAsia"/>
          <w:szCs w:val="32"/>
        </w:rPr>
        <w:t>截留，此专项经费支出规范、合理，无虚列、虚报冒领和挤占挪用的现象。区教育</w:t>
      </w:r>
      <w:r w:rsidR="0016087B">
        <w:rPr>
          <w:rFonts w:ascii="仿宋_GB2312" w:hAnsi="仿宋_GB2312" w:hint="eastAsia"/>
          <w:szCs w:val="32"/>
        </w:rPr>
        <w:t>体育</w:t>
      </w:r>
      <w:r>
        <w:rPr>
          <w:rFonts w:ascii="仿宋_GB2312" w:hAnsi="仿宋_GB2312" w:hint="eastAsia"/>
          <w:szCs w:val="32"/>
        </w:rPr>
        <w:t>局定期组织督察，对学校</w:t>
      </w:r>
      <w:r>
        <w:rPr>
          <w:rFonts w:ascii="仿宋_GB2312" w:hAnsi="仿宋_GB2312" w:cs="楷体" w:hint="eastAsia"/>
          <w:szCs w:val="32"/>
          <w:shd w:val="clear" w:color="auto" w:fill="FFFFFF"/>
        </w:rPr>
        <w:t>教师住房补助</w:t>
      </w:r>
      <w:r>
        <w:rPr>
          <w:rFonts w:ascii="仿宋_GB2312" w:hAnsi="仿宋_GB2312" w:hint="eastAsia"/>
          <w:szCs w:val="32"/>
        </w:rPr>
        <w:t>使用情况进行检查指导。</w:t>
      </w:r>
      <w:r>
        <w:rPr>
          <w:rFonts w:ascii="仿宋_GB2312" w:hAnsi="仿宋_GB2312" w:cs="楷体" w:hint="eastAsia"/>
          <w:szCs w:val="32"/>
          <w:shd w:val="clear" w:color="auto" w:fill="FFFFFF"/>
        </w:rPr>
        <w:t>教师住房补助资金</w:t>
      </w:r>
      <w:r>
        <w:rPr>
          <w:rFonts w:ascii="仿宋_GB2312" w:hAnsi="仿宋_GB2312" w:hint="eastAsia"/>
          <w:szCs w:val="32"/>
        </w:rPr>
        <w:t>按时足额到位，有效保障了教师的生活需求，保障学校教育教学工作正常开展，学校处于良性发展的生态环境。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/>
          <w:b/>
          <w:szCs w:val="32"/>
        </w:rPr>
      </w:pPr>
      <w:r>
        <w:rPr>
          <w:rFonts w:ascii="仿宋_GB2312" w:hAnsi="仿宋_GB2312" w:hint="eastAsia"/>
          <w:b/>
          <w:szCs w:val="32"/>
        </w:rPr>
        <w:t>四、绩效评价指标分析情况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1、项目经济性分析</w:t>
      </w:r>
    </w:p>
    <w:p w:rsidR="0075798D" w:rsidRDefault="00F1775E" w:rsidP="00746BD1">
      <w:pPr>
        <w:widowControl/>
        <w:adjustRightInd w:val="0"/>
        <w:snapToGrid w:val="0"/>
        <w:spacing w:line="600" w:lineRule="exact"/>
        <w:ind w:firstLine="593"/>
        <w:jc w:val="lef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201</w:t>
      </w:r>
      <w:r w:rsidR="00875B29">
        <w:rPr>
          <w:rFonts w:ascii="仿宋_GB2312" w:hAnsi="仿宋_GB2312" w:hint="eastAsia"/>
          <w:szCs w:val="32"/>
        </w:rPr>
        <w:t>8</w:t>
      </w:r>
      <w:r>
        <w:rPr>
          <w:rFonts w:ascii="仿宋_GB2312" w:hAnsi="仿宋_GB2312" w:hint="eastAsia"/>
          <w:szCs w:val="32"/>
        </w:rPr>
        <w:t>年度</w:t>
      </w:r>
      <w:r>
        <w:rPr>
          <w:rFonts w:ascii="仿宋_GB2312" w:hAnsi="仿宋_GB2312" w:cs="楷体" w:hint="eastAsia"/>
          <w:szCs w:val="32"/>
          <w:shd w:val="clear" w:color="auto" w:fill="FFFFFF"/>
        </w:rPr>
        <w:t>昆明世青国际学校教师住房补助</w:t>
      </w:r>
      <w:r>
        <w:rPr>
          <w:rFonts w:ascii="仿宋_GB2312" w:hAnsi="仿宋_GB2312" w:hint="eastAsia"/>
          <w:szCs w:val="32"/>
        </w:rPr>
        <w:t xml:space="preserve">拨付资金20万元，实际使用资金20万元，本年无结余资金，该项资金全部用于昆明世青国际学校教师住房补助，不存在截留和挪用资金的现象。  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2、项目的效率性分析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截止201</w:t>
      </w:r>
      <w:r w:rsidR="00875B29">
        <w:rPr>
          <w:rFonts w:ascii="仿宋_GB2312" w:hAnsi="仿宋_GB2312" w:hint="eastAsia"/>
          <w:szCs w:val="32"/>
        </w:rPr>
        <w:t>8</w:t>
      </w:r>
      <w:r>
        <w:rPr>
          <w:rFonts w:ascii="仿宋_GB2312" w:hAnsi="仿宋_GB2312" w:hint="eastAsia"/>
          <w:szCs w:val="32"/>
        </w:rPr>
        <w:t>年12月，项目所实施的内容已按要求完成，学校按要求把教师交通补助进行了分账核算，按照适用范围列支。201</w:t>
      </w:r>
      <w:r w:rsidR="00875B29">
        <w:rPr>
          <w:rFonts w:ascii="仿宋_GB2312" w:hAnsi="仿宋_GB2312" w:hint="eastAsia"/>
          <w:szCs w:val="32"/>
        </w:rPr>
        <w:t>8</w:t>
      </w:r>
      <w:r>
        <w:rPr>
          <w:rFonts w:ascii="仿宋_GB2312" w:hAnsi="仿宋_GB2312" w:hint="eastAsia"/>
          <w:szCs w:val="32"/>
        </w:rPr>
        <w:t>年度该项目资金严格按照项目管理制度规定执行，学校资金使用合</w:t>
      </w:r>
      <w:proofErr w:type="gramStart"/>
      <w:r>
        <w:rPr>
          <w:rFonts w:ascii="仿宋_GB2312" w:hAnsi="仿宋_GB2312" w:hint="eastAsia"/>
          <w:szCs w:val="32"/>
        </w:rPr>
        <w:t>规</w:t>
      </w:r>
      <w:proofErr w:type="gramEnd"/>
      <w:r>
        <w:rPr>
          <w:rFonts w:ascii="仿宋_GB2312" w:hAnsi="仿宋_GB2312" w:hint="eastAsia"/>
          <w:szCs w:val="32"/>
        </w:rPr>
        <w:t>、合法，项目完成质量较好。</w:t>
      </w:r>
    </w:p>
    <w:p w:rsidR="0075798D" w:rsidRDefault="00F1775E" w:rsidP="00746BD1">
      <w:pPr>
        <w:adjustRightInd w:val="0"/>
        <w:snapToGrid w:val="0"/>
        <w:spacing w:line="600" w:lineRule="exact"/>
        <w:ind w:firstLine="593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3、项目的效益性分析</w:t>
      </w:r>
    </w:p>
    <w:p w:rsidR="0075798D" w:rsidRDefault="00F1775E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通过项目实施使学校得到部分财政资金的支持，极大地调动了办学积极性，也有力支持了学校的建设发展。学校聘用的优秀教师进得来、留得住、干得好，有利于教师队伍稳定，教学积极性增强，学校办学质量稳步提升。呈贡</w:t>
      </w:r>
      <w:r>
        <w:rPr>
          <w:rFonts w:ascii="仿宋_GB2312" w:hAnsi="仿宋_GB2312" w:cs="仿宋_GB2312" w:hint="eastAsia"/>
          <w:szCs w:val="32"/>
        </w:rPr>
        <w:t>区优质教育资源增量扩优，为</w:t>
      </w:r>
      <w:proofErr w:type="gramStart"/>
      <w:r>
        <w:rPr>
          <w:rFonts w:ascii="仿宋_GB2312" w:hAnsi="仿宋_GB2312" w:cs="仿宋_GB2312" w:hint="eastAsia"/>
          <w:szCs w:val="32"/>
        </w:rPr>
        <w:t>拉动新区</w:t>
      </w:r>
      <w:proofErr w:type="gramEnd"/>
      <w:r>
        <w:rPr>
          <w:rFonts w:ascii="仿宋_GB2312" w:hAnsi="仿宋_GB2312" w:cs="仿宋_GB2312" w:hint="eastAsia"/>
          <w:szCs w:val="32"/>
        </w:rPr>
        <w:t>经济建设、聚集人气发挥积极作用。优质教育资源覆盖面不断扩大，新区人民群</w:t>
      </w: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众真正享受到新区建设带来的实惠，群众满意度大幅度提高，新区</w:t>
      </w:r>
      <w:r>
        <w:rPr>
          <w:rFonts w:ascii="仿宋_GB2312" w:hAnsi="仿宋_GB2312" w:hint="eastAsia"/>
          <w:szCs w:val="32"/>
        </w:rPr>
        <w:t>教育发展成果惠及面日益扩大。</w:t>
      </w:r>
    </w:p>
    <w:p w:rsidR="0075798D" w:rsidRDefault="00F1775E" w:rsidP="00746BD1">
      <w:pPr>
        <w:adjustRightInd w:val="0"/>
        <w:snapToGrid w:val="0"/>
        <w:spacing w:line="600" w:lineRule="exact"/>
        <w:ind w:firstLineChars="200" w:firstLine="643"/>
        <w:rPr>
          <w:rFonts w:ascii="仿宋_GB2312" w:hAnsi="仿宋_GB2312"/>
          <w:b/>
          <w:szCs w:val="32"/>
        </w:rPr>
      </w:pPr>
      <w:r>
        <w:rPr>
          <w:rFonts w:ascii="仿宋_GB2312" w:hAnsi="仿宋_GB2312" w:hint="eastAsia"/>
          <w:b/>
          <w:szCs w:val="32"/>
        </w:rPr>
        <w:t>五、综合评价情况及评价结论</w:t>
      </w:r>
    </w:p>
    <w:p w:rsidR="0075798D" w:rsidRDefault="002C0A60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</w:t>
      </w:r>
      <w:r w:rsidR="00F1775E">
        <w:rPr>
          <w:rFonts w:ascii="仿宋_GB2312" w:hAnsi="仿宋_GB2312" w:hint="eastAsia"/>
          <w:szCs w:val="32"/>
        </w:rPr>
        <w:t>按照项目绩效评价指标体系严格打分，此项目评分为100分，评价等级为优。</w:t>
      </w:r>
    </w:p>
    <w:p w:rsidR="0075798D" w:rsidRDefault="00F1775E" w:rsidP="00746BD1">
      <w:pPr>
        <w:adjustRightInd w:val="0"/>
        <w:snapToGrid w:val="0"/>
        <w:spacing w:line="600" w:lineRule="exact"/>
        <w:ind w:firstLineChars="200" w:firstLine="643"/>
        <w:rPr>
          <w:rFonts w:ascii="仿宋_GB2312" w:hAnsi="仿宋_GB2312"/>
          <w:b/>
          <w:szCs w:val="32"/>
        </w:rPr>
      </w:pPr>
      <w:r>
        <w:rPr>
          <w:rFonts w:ascii="仿宋_GB2312" w:hAnsi="仿宋_GB2312" w:hint="eastAsia"/>
          <w:b/>
          <w:szCs w:val="32"/>
        </w:rPr>
        <w:lastRenderedPageBreak/>
        <w:t>六、绩效评价结果应用建议</w:t>
      </w:r>
    </w:p>
    <w:p w:rsidR="0075798D" w:rsidRDefault="00875B29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</w:t>
      </w:r>
      <w:r w:rsidR="00F1775E">
        <w:rPr>
          <w:rFonts w:ascii="仿宋_GB2312" w:hAnsi="仿宋_GB2312" w:hint="eastAsia"/>
          <w:szCs w:val="32"/>
        </w:rPr>
        <w:t>该项目资金年初预算批复下达时，已按相关规定在网上进行了预算公开，接受社会监督。</w:t>
      </w:r>
    </w:p>
    <w:p w:rsidR="0075798D" w:rsidRDefault="00F1775E" w:rsidP="00746BD1">
      <w:pPr>
        <w:adjustRightInd w:val="0"/>
        <w:snapToGrid w:val="0"/>
        <w:spacing w:line="600" w:lineRule="exact"/>
        <w:ind w:firstLineChars="200" w:firstLine="643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b/>
          <w:szCs w:val="32"/>
        </w:rPr>
        <w:t>七、主要经验及做法、存在的问题和建议。</w:t>
      </w:r>
    </w:p>
    <w:p w:rsidR="0075798D" w:rsidRDefault="00875B29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</w:t>
      </w:r>
      <w:r w:rsidR="00F1775E">
        <w:rPr>
          <w:rFonts w:ascii="仿宋_GB2312" w:hAnsi="仿宋_GB2312" w:hint="eastAsia"/>
          <w:szCs w:val="32"/>
        </w:rPr>
        <w:t>今后，我局将进一步完善对于合作办学学校的各项管理制度，管好、用好合作办学各项经费，确保合作办学学校进一步提高办学水平和教育教学质量，促进合作办学学校健康持续发展，使合作办学学校为我区教育事业的发展做出新的更大贡献。</w:t>
      </w:r>
    </w:p>
    <w:p w:rsidR="0075798D" w:rsidRDefault="00F1775E" w:rsidP="00746BD1">
      <w:pPr>
        <w:adjustRightInd w:val="0"/>
        <w:snapToGrid w:val="0"/>
        <w:spacing w:line="600" w:lineRule="exact"/>
        <w:ind w:firstLineChars="200" w:firstLine="643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b/>
          <w:szCs w:val="32"/>
        </w:rPr>
        <w:t>八、其他需说明的问题</w:t>
      </w:r>
      <w:r>
        <w:rPr>
          <w:rFonts w:ascii="仿宋_GB2312" w:hAnsi="仿宋_GB2312" w:hint="eastAsia"/>
          <w:szCs w:val="32"/>
        </w:rPr>
        <w:t>。</w:t>
      </w:r>
    </w:p>
    <w:p w:rsidR="0075798D" w:rsidRDefault="00F1775E" w:rsidP="00746BD1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无</w:t>
      </w:r>
    </w:p>
    <w:p w:rsidR="0075798D" w:rsidRDefault="00F1775E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                            </w:t>
      </w:r>
    </w:p>
    <w:p w:rsidR="0075798D" w:rsidRDefault="0075798D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</w:p>
    <w:p w:rsidR="0075798D" w:rsidRDefault="0016087B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                         </w:t>
      </w:r>
      <w:r w:rsidR="00F1775E">
        <w:rPr>
          <w:rFonts w:ascii="仿宋_GB2312" w:hAnsi="仿宋_GB2312" w:hint="eastAsia"/>
          <w:szCs w:val="32"/>
        </w:rPr>
        <w:t>昆明市呈贡区教育</w:t>
      </w:r>
      <w:r>
        <w:rPr>
          <w:rFonts w:ascii="仿宋_GB2312" w:hAnsi="仿宋_GB2312" w:hint="eastAsia"/>
          <w:szCs w:val="32"/>
        </w:rPr>
        <w:t>体育</w:t>
      </w:r>
      <w:r w:rsidR="00F1775E">
        <w:rPr>
          <w:rFonts w:ascii="仿宋_GB2312" w:hAnsi="仿宋_GB2312" w:hint="eastAsia"/>
          <w:szCs w:val="32"/>
        </w:rPr>
        <w:t>局</w:t>
      </w:r>
    </w:p>
    <w:p w:rsidR="0075798D" w:rsidRDefault="00F1775E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                             201</w:t>
      </w:r>
      <w:r w:rsidR="00875B29">
        <w:rPr>
          <w:rFonts w:ascii="仿宋_GB2312" w:hAnsi="仿宋_GB2312" w:hint="eastAsia"/>
          <w:szCs w:val="32"/>
        </w:rPr>
        <w:t>9</w:t>
      </w:r>
      <w:r>
        <w:rPr>
          <w:rFonts w:ascii="仿宋_GB2312" w:hAnsi="仿宋_GB2312" w:hint="eastAsia"/>
          <w:szCs w:val="32"/>
        </w:rPr>
        <w:t>年</w:t>
      </w:r>
      <w:r w:rsidR="00875B29">
        <w:rPr>
          <w:rFonts w:ascii="仿宋_GB2312" w:hAnsi="仿宋_GB2312" w:hint="eastAsia"/>
          <w:szCs w:val="32"/>
        </w:rPr>
        <w:t>3</w:t>
      </w:r>
      <w:r>
        <w:rPr>
          <w:rFonts w:ascii="仿宋_GB2312" w:hAnsi="仿宋_GB2312" w:hint="eastAsia"/>
          <w:szCs w:val="32"/>
        </w:rPr>
        <w:t>月</w:t>
      </w:r>
      <w:r w:rsidR="00875B29">
        <w:rPr>
          <w:rFonts w:ascii="仿宋_GB2312" w:hAnsi="仿宋_GB2312" w:hint="eastAsia"/>
          <w:szCs w:val="32"/>
        </w:rPr>
        <w:t>15</w:t>
      </w:r>
      <w:r>
        <w:rPr>
          <w:rFonts w:ascii="仿宋_GB2312" w:hAnsi="仿宋_GB2312" w:hint="eastAsia"/>
          <w:szCs w:val="32"/>
        </w:rPr>
        <w:t>日</w:t>
      </w:r>
    </w:p>
    <w:p w:rsidR="0075798D" w:rsidRDefault="00F1775E" w:rsidP="00746BD1">
      <w:pPr>
        <w:adjustRightInd w:val="0"/>
        <w:snapToGrid w:val="0"/>
        <w:spacing w:line="60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                       </w:t>
      </w:r>
    </w:p>
    <w:p w:rsidR="0075798D" w:rsidRDefault="0075798D" w:rsidP="00746BD1">
      <w:pPr>
        <w:adjustRightInd w:val="0"/>
        <w:snapToGrid w:val="0"/>
        <w:spacing w:line="600" w:lineRule="exact"/>
      </w:pPr>
    </w:p>
    <w:sectPr w:rsidR="0075798D" w:rsidSect="0075798D">
      <w:footerReference w:type="default" r:id="rId7"/>
      <w:endnotePr>
        <w:numFmt w:val="decimal"/>
      </w:endnotePr>
      <w:pgSz w:w="11906" w:h="16838"/>
      <w:pgMar w:top="1723" w:right="1800" w:bottom="1723" w:left="1800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AC" w:rsidRDefault="000C3EAC" w:rsidP="0075798D">
      <w:r>
        <w:separator/>
      </w:r>
    </w:p>
  </w:endnote>
  <w:endnote w:type="continuationSeparator" w:id="0">
    <w:p w:rsidR="000C3EAC" w:rsidRDefault="000C3EAC" w:rsidP="0075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8D" w:rsidRDefault="00CE791D">
    <w:pPr>
      <w:jc w:val="right"/>
    </w:pPr>
    <w:r>
      <w:fldChar w:fldCharType="begin"/>
    </w:r>
    <w:r w:rsidR="00F1775E">
      <w:instrText xml:space="preserve"> PAGE \* Arabic </w:instrText>
    </w:r>
    <w:r>
      <w:fldChar w:fldCharType="separate"/>
    </w:r>
    <w:r w:rsidR="00746BD1">
      <w:rPr>
        <w:noProof/>
      </w:rPr>
      <w:t>1</w:t>
    </w:r>
    <w:r>
      <w:fldChar w:fldCharType="end"/>
    </w:r>
  </w:p>
  <w:p w:rsidR="0075798D" w:rsidRDefault="007579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AC" w:rsidRDefault="000C3EAC" w:rsidP="0075798D">
      <w:r>
        <w:separator/>
      </w:r>
    </w:p>
  </w:footnote>
  <w:footnote w:type="continuationSeparator" w:id="0">
    <w:p w:rsidR="000C3EAC" w:rsidRDefault="000C3EAC" w:rsidP="0075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8"/>
  <w:drawingGridVerticalSpacing w:val="304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75798D"/>
    <w:rsid w:val="000C3EAC"/>
    <w:rsid w:val="0016087B"/>
    <w:rsid w:val="0021243B"/>
    <w:rsid w:val="002C0A60"/>
    <w:rsid w:val="00582A89"/>
    <w:rsid w:val="00732709"/>
    <w:rsid w:val="00746BD1"/>
    <w:rsid w:val="0075798D"/>
    <w:rsid w:val="00837F49"/>
    <w:rsid w:val="00875B29"/>
    <w:rsid w:val="00A84E0C"/>
    <w:rsid w:val="00CB308D"/>
    <w:rsid w:val="00CE59E0"/>
    <w:rsid w:val="00CE791D"/>
    <w:rsid w:val="00E61C70"/>
    <w:rsid w:val="00F1775E"/>
    <w:rsid w:val="00F203DF"/>
    <w:rsid w:val="0E090DB9"/>
    <w:rsid w:val="5B62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0" w:unhideWhenUsed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Char"/>
    <w:qFormat/>
    <w:rsid w:val="0075798D"/>
    <w:pPr>
      <w:widowControl w:val="0"/>
      <w:jc w:val="both"/>
    </w:pPr>
    <w:rPr>
      <w:kern w:val="1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75798D"/>
    <w:pPr>
      <w:widowControl w:val="0"/>
    </w:pPr>
    <w:rPr>
      <w:kern w:val="1"/>
      <w:sz w:val="18"/>
      <w:szCs w:val="18"/>
    </w:rPr>
  </w:style>
  <w:style w:type="paragraph" w:styleId="a4">
    <w:name w:val="header"/>
    <w:qFormat/>
    <w:rsid w:val="0075798D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kern w:val="1"/>
      <w:sz w:val="18"/>
      <w:szCs w:val="18"/>
    </w:rPr>
  </w:style>
  <w:style w:type="character" w:customStyle="1" w:styleId="Char0">
    <w:name w:val="页眉 Char"/>
    <w:rsid w:val="0075798D"/>
    <w:rPr>
      <w:rFonts w:eastAsia="仿宋_GB2312"/>
      <w:kern w:val="1"/>
      <w:sz w:val="18"/>
      <w:szCs w:val="18"/>
    </w:rPr>
  </w:style>
  <w:style w:type="character" w:customStyle="1" w:styleId="Char">
    <w:name w:val="页脚 Char"/>
    <w:qFormat/>
    <w:rsid w:val="0075798D"/>
    <w:rPr>
      <w:rFonts w:eastAsia="仿宋_GB2312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仿宋_GB2312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hp</cp:lastModifiedBy>
  <cp:revision>46</cp:revision>
  <cp:lastPrinted>2018-05-06T02:15:00Z</cp:lastPrinted>
  <dcterms:created xsi:type="dcterms:W3CDTF">2014-10-29T12:08:00Z</dcterms:created>
  <dcterms:modified xsi:type="dcterms:W3CDTF">2019-03-25T01:29:00Z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