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_GBK" w:eastAsia="方正小标宋_GBK"/>
          <w:sz w:val="36"/>
          <w:szCs w:val="36"/>
        </w:rPr>
      </w:pPr>
      <w:r>
        <w:rPr>
          <w:rFonts w:hint="eastAsia" w:ascii="仿宋_GB2312" w:hAnsi="华文中宋"/>
          <w:bCs/>
          <w:szCs w:val="32"/>
        </w:rPr>
        <w:t>附件4-4:</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呈贡区教育体育局中华小学滇池星城公费学位超出部分学生补助经费</w:t>
      </w:r>
      <w:r>
        <w:rPr>
          <w:rFonts w:ascii="方正小标宋简体" w:eastAsia="方正小标宋简体"/>
          <w:sz w:val="44"/>
          <w:szCs w:val="44"/>
        </w:rPr>
        <w:t>项目支出绩效评价报告</w:t>
      </w:r>
    </w:p>
    <w:p>
      <w:pPr>
        <w:widowControl/>
        <w:spacing w:line="560" w:lineRule="exact"/>
        <w:jc w:val="left"/>
        <w:rPr>
          <w:rFonts w:ascii="仿宋_GB2312"/>
          <w:kern w:val="1"/>
          <w:sz w:val="32"/>
          <w:szCs w:val="32"/>
        </w:rPr>
      </w:pPr>
      <w:r>
        <w:rPr>
          <w:rFonts w:hint="eastAsia" w:ascii="仿宋_GB2312" w:hAnsi="仿宋_GB2312"/>
          <w:kern w:val="1"/>
          <w:sz w:val="32"/>
          <w:szCs w:val="32"/>
        </w:rPr>
        <w:t>呈贡区财政局：</w:t>
      </w:r>
    </w:p>
    <w:p>
      <w:pPr>
        <w:widowControl/>
        <w:spacing w:line="560" w:lineRule="exact"/>
        <w:ind w:firstLine="480"/>
        <w:jc w:val="left"/>
        <w:rPr>
          <w:rFonts w:hint="eastAsia" w:ascii="仿宋_GB2312" w:hAnsi="仿宋_GB2312"/>
          <w:kern w:val="1"/>
          <w:sz w:val="32"/>
          <w:szCs w:val="32"/>
        </w:rPr>
      </w:pPr>
      <w:r>
        <w:rPr>
          <w:rFonts w:hint="eastAsia" w:ascii="仿宋_GB2312" w:hAnsi="仿宋_GB2312"/>
          <w:kern w:val="1"/>
          <w:sz w:val="32"/>
          <w:szCs w:val="32"/>
        </w:rPr>
        <w:t>根据《关于开展2018年度区级预算支出绩效自评工作的通知》（呈财〔2019〕21号）精神，我局开展了“中华小学滇池星城公费学位超出部分学生补助经费”项目支出绩效自评工作。现将预算支出绩效自评情况报告如下：</w:t>
      </w:r>
    </w:p>
    <w:p>
      <w:pPr>
        <w:topLinePunct/>
        <w:spacing w:line="560" w:lineRule="exact"/>
        <w:ind w:firstLine="640" w:firstLineChars="200"/>
        <w:rPr>
          <w:rFonts w:ascii="黑体" w:eastAsia="黑体"/>
          <w:sz w:val="32"/>
          <w:szCs w:val="32"/>
        </w:rPr>
      </w:pPr>
      <w:r>
        <w:rPr>
          <w:rFonts w:hint="eastAsia" w:ascii="黑体" w:eastAsia="黑体"/>
          <w:sz w:val="32"/>
          <w:szCs w:val="32"/>
        </w:rPr>
        <w:t>一、基本情况</w:t>
      </w:r>
    </w:p>
    <w:p>
      <w:pPr>
        <w:topLinePunct/>
        <w:spacing w:line="560" w:lineRule="exact"/>
        <w:ind w:firstLine="640" w:firstLineChars="200"/>
        <w:rPr>
          <w:rFonts w:ascii="仿宋_GB2312"/>
          <w:sz w:val="32"/>
          <w:szCs w:val="32"/>
        </w:rPr>
      </w:pPr>
      <w:r>
        <w:rPr>
          <w:rFonts w:hint="eastAsia" w:ascii="仿宋_GB2312" w:hAnsi="仿宋_GB2312" w:cs="仿宋_GB2312"/>
          <w:sz w:val="32"/>
          <w:szCs w:val="32"/>
        </w:rPr>
        <w:t>（一）项目概况</w:t>
      </w:r>
    </w:p>
    <w:p>
      <w:pPr>
        <w:keepNext w:val="0"/>
        <w:keepLines w:val="0"/>
        <w:pageBreakBefore w:val="0"/>
        <w:widowControl w:val="0"/>
        <w:numPr>
          <w:ilvl w:val="0"/>
          <w:numId w:val="0"/>
        </w:numPr>
        <w:kinsoku/>
        <w:wordWrap/>
        <w:overflowPunct/>
        <w:topLinePunct w:val="0"/>
        <w:autoSpaceDE/>
        <w:autoSpaceDN/>
        <w:bidi w:val="0"/>
        <w:adjustRightInd/>
        <w:snapToGrid/>
        <w:ind w:firstLine="634" w:firstLineChars="200"/>
        <w:textAlignment w:val="auto"/>
        <w:outlineLvl w:val="9"/>
        <w:rPr>
          <w:rFonts w:hint="eastAsia" w:ascii="仿宋_GB2312" w:eastAsia="仿宋_GB2312" w:cs="宋体"/>
          <w:sz w:val="32"/>
          <w:szCs w:val="32"/>
          <w:lang w:eastAsia="zh-CN"/>
        </w:rPr>
      </w:pPr>
      <w:r>
        <w:rPr>
          <w:rFonts w:hint="eastAsia" w:ascii="仿宋_GB2312" w:eastAsia="仿宋_GB2312" w:cs="宋体"/>
          <w:sz w:val="32"/>
          <w:szCs w:val="32"/>
          <w:lang w:eastAsia="zh-CN"/>
        </w:rPr>
        <w:t>根据区人民政府与市教育局签定的《合作协议》，中华小学每年招生的30%作为公费学位学生，2016年一年级共招收156名，超出计划48名，经双方协议</w:t>
      </w:r>
      <w:r>
        <w:rPr>
          <w:rFonts w:hint="eastAsia" w:ascii="仿宋_GB2312" w:cs="宋体"/>
          <w:sz w:val="32"/>
          <w:szCs w:val="32"/>
          <w:lang w:eastAsia="zh-CN"/>
        </w:rPr>
        <w:t>，</w:t>
      </w:r>
      <w:r>
        <w:rPr>
          <w:rFonts w:hint="eastAsia" w:ascii="仿宋_GB2312" w:eastAsia="仿宋_GB2312" w:cs="宋体"/>
          <w:sz w:val="32"/>
          <w:szCs w:val="32"/>
          <w:lang w:eastAsia="zh-CN"/>
        </w:rPr>
        <w:t>每生5000元/年人作为学校的办学经费,用于中华小学滇池星城公费学位超出部分学生对学校办学的补助。</w:t>
      </w:r>
    </w:p>
    <w:p>
      <w:pPr>
        <w:topLinePunct/>
        <w:spacing w:line="560" w:lineRule="exact"/>
        <w:ind w:firstLine="640" w:firstLineChars="200"/>
        <w:rPr>
          <w:rFonts w:ascii="仿宋_GB2312"/>
          <w:sz w:val="32"/>
          <w:szCs w:val="32"/>
        </w:rPr>
      </w:pPr>
      <w:r>
        <w:rPr>
          <w:rFonts w:hint="eastAsia" w:ascii="仿宋_GB2312" w:hAnsi="仿宋_GB2312" w:cs="仿宋_GB2312"/>
          <w:sz w:val="32"/>
          <w:szCs w:val="32"/>
        </w:rPr>
        <w:t>（二）项目绩效目标</w:t>
      </w:r>
    </w:p>
    <w:p>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1.项目绩效总目标。</w:t>
      </w:r>
      <w:r>
        <w:rPr>
          <w:rFonts w:hint="eastAsia" w:ascii="仿宋_GB2312"/>
          <w:sz w:val="32"/>
          <w:szCs w:val="32"/>
          <w:lang w:eastAsia="zh-CN"/>
        </w:rPr>
        <w:t>项目资金主要用于支付中华小学滇池星城公费学位超出部分学生对学校办学的补助，为学校正常开展教学提供经费保障，为超出协议部分的学生接受优质义务教育提供机会。</w:t>
      </w:r>
    </w:p>
    <w:p>
      <w:pPr>
        <w:spacing w:line="560" w:lineRule="exact"/>
        <w:ind w:firstLine="640" w:firstLineChars="200"/>
        <w:rPr>
          <w:rFonts w:ascii="仿宋_GB2312"/>
          <w:sz w:val="32"/>
          <w:szCs w:val="32"/>
        </w:rPr>
      </w:pPr>
      <w:r>
        <w:rPr>
          <w:rFonts w:ascii="仿宋_GB2312"/>
          <w:sz w:val="32"/>
          <w:szCs w:val="32"/>
        </w:rPr>
        <w:t>2.</w:t>
      </w:r>
      <w:r>
        <w:rPr>
          <w:rFonts w:hint="eastAsia" w:ascii="仿宋_GB2312"/>
          <w:sz w:val="32"/>
          <w:szCs w:val="32"/>
        </w:rPr>
        <w:t>项目绩效阶段性目标。根据资金下达时间及时下拨到</w:t>
      </w:r>
      <w:r>
        <w:rPr>
          <w:rFonts w:hint="eastAsia" w:ascii="仿宋_GB2312"/>
          <w:sz w:val="32"/>
          <w:szCs w:val="32"/>
          <w:lang w:eastAsia="zh-CN"/>
        </w:rPr>
        <w:t>学校</w:t>
      </w:r>
      <w:r>
        <w:rPr>
          <w:rFonts w:hint="eastAsia" w:ascii="仿宋_GB2312"/>
          <w:sz w:val="32"/>
          <w:szCs w:val="32"/>
        </w:rPr>
        <w:t>，</w:t>
      </w:r>
      <w:r>
        <w:rPr>
          <w:rFonts w:hint="eastAsia" w:ascii="仿宋_GB2312"/>
          <w:sz w:val="32"/>
          <w:szCs w:val="32"/>
          <w:lang w:eastAsia="zh-CN"/>
        </w:rPr>
        <w:t>学校</w:t>
      </w:r>
      <w:r>
        <w:rPr>
          <w:rFonts w:hint="eastAsia" w:ascii="仿宋_GB2312"/>
          <w:sz w:val="32"/>
          <w:szCs w:val="32"/>
        </w:rPr>
        <w:t>根据建设项目、采购项目情况据实列支该项经费</w:t>
      </w:r>
      <w:r>
        <w:rPr>
          <w:rFonts w:hint="eastAsia" w:ascii="仿宋_GB2312"/>
          <w:sz w:val="32"/>
          <w:szCs w:val="32"/>
          <w:lang w:eastAsia="zh-CN"/>
        </w:rPr>
        <w:t>。</w:t>
      </w:r>
    </w:p>
    <w:p>
      <w:pPr>
        <w:topLinePunct/>
        <w:spacing w:line="560" w:lineRule="exact"/>
        <w:ind w:firstLine="640" w:firstLineChars="200"/>
        <w:rPr>
          <w:rFonts w:ascii="仿宋_GB2312"/>
          <w:b/>
          <w:sz w:val="32"/>
          <w:szCs w:val="32"/>
        </w:rPr>
      </w:pPr>
      <w:r>
        <w:rPr>
          <w:rFonts w:hint="eastAsia" w:ascii="黑体" w:eastAsia="黑体"/>
          <w:sz w:val="32"/>
          <w:szCs w:val="32"/>
        </w:rPr>
        <w:t>二、项目单位绩效报告情况</w:t>
      </w:r>
      <w:r>
        <w:rPr>
          <w:rFonts w:ascii="仿宋_GB2312"/>
          <w:b/>
          <w:sz w:val="32"/>
          <w:szCs w:val="32"/>
        </w:rPr>
        <w:tab/>
      </w:r>
    </w:p>
    <w:p>
      <w:pPr>
        <w:keepNext w:val="0"/>
        <w:keepLines w:val="0"/>
        <w:pageBreakBefore w:val="0"/>
        <w:widowControl w:val="0"/>
        <w:kinsoku/>
        <w:wordWrap/>
        <w:overflowPunct/>
        <w:topLinePunct w:val="0"/>
        <w:autoSpaceDE/>
        <w:autoSpaceDN/>
        <w:bidi w:val="0"/>
        <w:adjustRightInd/>
        <w:snapToGrid/>
        <w:ind w:firstLine="634" w:firstLineChars="200"/>
        <w:textAlignment w:val="auto"/>
        <w:outlineLvl w:val="9"/>
        <w:rPr>
          <w:rFonts w:ascii="仿宋_GB2312"/>
          <w:b/>
          <w:sz w:val="32"/>
          <w:szCs w:val="32"/>
        </w:rPr>
      </w:pPr>
      <w:r>
        <w:rPr>
          <w:rFonts w:hint="eastAsia" w:ascii="仿宋_GB2312"/>
          <w:sz w:val="32"/>
          <w:szCs w:val="32"/>
          <w:lang w:val="en-US" w:eastAsia="zh-CN"/>
        </w:rPr>
        <w:t>2018年呈贡区财政预算安排项目资金24万元,资金到位率100%，实际使用资金24万，无资金结余，资金使用率100%。</w:t>
      </w:r>
    </w:p>
    <w:p>
      <w:pPr>
        <w:topLinePunct/>
        <w:spacing w:line="560" w:lineRule="exact"/>
        <w:ind w:firstLine="640" w:firstLineChars="200"/>
        <w:rPr>
          <w:rFonts w:ascii="黑体" w:eastAsia="黑体"/>
          <w:sz w:val="32"/>
          <w:szCs w:val="32"/>
        </w:rPr>
      </w:pPr>
      <w:r>
        <w:rPr>
          <w:rFonts w:hint="eastAsia" w:ascii="黑体" w:eastAsia="黑体"/>
          <w:sz w:val="32"/>
          <w:szCs w:val="32"/>
        </w:rPr>
        <w:t>三、绩效评价工作情况</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（一）绩效评价目的。进一步加强对财政预算资金使用的监督和管理，强化预算支出的责任与效率，提高财政资金使用效益。</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二）绩效评价原则、评价指标体系、评价方法。坚持科学规范、公正公开、分级分类、绩效相关的绩效评价原则，参照项目支出绩效自评指标评分表制定该项目评价体系，结合实际采用成本效益分析法、比较法、因素分析法、最低成本法、公众评价法等方法进行绩效评价。</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（三）绩效评价工作过程</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1.前期准备。召开专题会，局计财科传达此次绩效评价工作的文件精神，并进行培训。</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2.组织实施。教育科牵头、局计财科配合，成本效益分析法、比较法、公众评价法等方法进行绩效评价。</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3.分析评价。综合各种方法得出的评价意见，并进行系统分析，确定评价意见。</w:t>
      </w:r>
    </w:p>
    <w:p>
      <w:pPr>
        <w:topLinePunct/>
        <w:spacing w:line="560" w:lineRule="exact"/>
        <w:ind w:left="560" w:leftChars="200" w:firstLine="1"/>
        <w:rPr>
          <w:rFonts w:ascii="仿宋_GB2312"/>
          <w:b/>
          <w:sz w:val="32"/>
          <w:szCs w:val="32"/>
        </w:rPr>
      </w:pPr>
      <w:r>
        <w:rPr>
          <w:rFonts w:hint="eastAsia" w:ascii="黑体" w:eastAsia="黑体"/>
          <w:sz w:val="32"/>
          <w:szCs w:val="32"/>
        </w:rPr>
        <w:t>四、绩效评价指标分析情况</w:t>
      </w:r>
      <w:r>
        <w:rPr>
          <w:rFonts w:ascii="仿宋_GB2312"/>
          <w:b/>
          <w:sz w:val="32"/>
          <w:szCs w:val="32"/>
        </w:rPr>
        <w:br w:type="textWrapping"/>
      </w:r>
      <w:r>
        <w:rPr>
          <w:rFonts w:hint="eastAsia" w:ascii="仿宋_GB2312" w:hAnsi="仿宋_GB2312" w:cs="仿宋_GB2312"/>
          <w:sz w:val="32"/>
          <w:szCs w:val="32"/>
        </w:rPr>
        <w:t>（一）项目资金情况分析。</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项目资金管理使用严格按照《呈贡区教育局财务管理规定（试行）》执行，各项审批、付款程序规范、有序，确保了资金的使用效率和项目的顺利实施。同时加强对</w:t>
      </w:r>
      <w:r>
        <w:rPr>
          <w:rFonts w:hint="eastAsia" w:ascii="仿宋_GB2312" w:hAnsi="仿宋_GB2312" w:cs="仿宋_GB2312"/>
          <w:sz w:val="32"/>
          <w:szCs w:val="32"/>
          <w:lang w:eastAsia="zh-CN"/>
        </w:rPr>
        <w:t>学校</w:t>
      </w:r>
      <w:r>
        <w:rPr>
          <w:rFonts w:hint="eastAsia" w:ascii="仿宋_GB2312" w:hAnsi="仿宋_GB2312" w:cs="仿宋_GB2312"/>
          <w:sz w:val="32"/>
          <w:szCs w:val="32"/>
        </w:rPr>
        <w:t>项目资金的管理，确保专款专用，充分发挥财政资金的使用效益。</w:t>
      </w:r>
    </w:p>
    <w:p>
      <w:pPr>
        <w:topLinePunct/>
        <w:spacing w:line="560" w:lineRule="exact"/>
        <w:ind w:firstLine="640" w:firstLineChars="200"/>
        <w:rPr>
          <w:rFonts w:ascii="仿宋_GB2312"/>
          <w:sz w:val="32"/>
          <w:szCs w:val="32"/>
        </w:rPr>
      </w:pPr>
      <w:r>
        <w:rPr>
          <w:rFonts w:hint="eastAsia" w:ascii="仿宋_GB2312"/>
          <w:sz w:val="32"/>
          <w:szCs w:val="32"/>
        </w:rPr>
        <w:t>（二）项目实施情况分析</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1.项目组织情况分析。项目立项充分考虑了工作实际，申报程序合规，手续完备，目标体系设置合理。</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2.项目管理情况分析。全面规范财务管理，严格执行专项资金开支的范围和标准，经费支出规范、合理，无虚列、虚报冒领和挤占挪用的现象，票据规范、合法有效。财务信息公开透明，并在</w:t>
      </w:r>
      <w:r>
        <w:rPr>
          <w:rFonts w:hint="eastAsia" w:ascii="仿宋_GB2312" w:hAnsi="仿宋_GB2312" w:cs="仿宋_GB2312"/>
          <w:sz w:val="32"/>
          <w:szCs w:val="32"/>
          <w:lang w:eastAsia="zh-CN"/>
        </w:rPr>
        <w:t>学校</w:t>
      </w:r>
      <w:r>
        <w:rPr>
          <w:rFonts w:hint="eastAsia" w:ascii="仿宋_GB2312" w:hAnsi="仿宋_GB2312" w:cs="仿宋_GB2312"/>
          <w:sz w:val="32"/>
          <w:szCs w:val="32"/>
        </w:rPr>
        <w:t>公示栏进行公示，主动接受师生和群众监督。区教育局定期对学校财务管理进行检查指导。</w:t>
      </w:r>
    </w:p>
    <w:p>
      <w:pPr>
        <w:topLinePunct/>
        <w:spacing w:line="560" w:lineRule="exact"/>
        <w:ind w:firstLine="640" w:firstLineChars="200"/>
        <w:rPr>
          <w:rFonts w:ascii="仿宋_GB2312"/>
          <w:sz w:val="32"/>
          <w:szCs w:val="32"/>
        </w:rPr>
      </w:pPr>
      <w:r>
        <w:rPr>
          <w:rFonts w:hint="eastAsia" w:ascii="仿宋_GB2312"/>
          <w:sz w:val="32"/>
          <w:szCs w:val="32"/>
        </w:rPr>
        <w:t>（三）项目绩效情况分析</w:t>
      </w:r>
    </w:p>
    <w:p>
      <w:pPr>
        <w:topLinePunct/>
        <w:spacing w:line="560" w:lineRule="exact"/>
        <w:ind w:firstLine="640" w:firstLineChars="200"/>
        <w:rPr>
          <w:rFonts w:ascii="仿宋_GB2312"/>
          <w:sz w:val="32"/>
          <w:szCs w:val="32"/>
        </w:rPr>
      </w:pPr>
      <w:r>
        <w:rPr>
          <w:rFonts w:hint="eastAsia" w:ascii="仿宋_GB2312"/>
          <w:sz w:val="32"/>
          <w:szCs w:val="32"/>
        </w:rPr>
        <w:t>1.项目经济性分析。该项目精细测算成本，严格控制成本，达到节约财政资金的目标。</w:t>
      </w:r>
    </w:p>
    <w:p>
      <w:pPr>
        <w:topLinePunct/>
        <w:spacing w:line="560" w:lineRule="exact"/>
        <w:ind w:firstLine="640" w:firstLineChars="200"/>
        <w:rPr>
          <w:rFonts w:ascii="仿宋_GB2312"/>
          <w:sz w:val="32"/>
          <w:szCs w:val="32"/>
        </w:rPr>
      </w:pPr>
      <w:r>
        <w:rPr>
          <w:rFonts w:hint="eastAsia" w:ascii="仿宋_GB2312"/>
          <w:sz w:val="32"/>
          <w:szCs w:val="32"/>
        </w:rPr>
        <w:t>2.项目的效率性分析。项目按计划组织实施，完成质量较好。</w:t>
      </w:r>
    </w:p>
    <w:p>
      <w:pPr>
        <w:spacing w:line="560" w:lineRule="exact"/>
        <w:ind w:firstLine="640" w:firstLineChars="200"/>
        <w:rPr>
          <w:rFonts w:ascii="仿宋_GB2312" w:hAnsi="仿宋_GB2312" w:cs="仿宋_GB2312"/>
          <w:sz w:val="32"/>
          <w:szCs w:val="32"/>
        </w:rPr>
      </w:pPr>
      <w:r>
        <w:rPr>
          <w:rFonts w:hint="eastAsia" w:ascii="仿宋_GB2312"/>
          <w:sz w:val="32"/>
          <w:szCs w:val="32"/>
        </w:rPr>
        <w:t>3.项目的效益性分析。项目达到预期目标，</w:t>
      </w:r>
      <w:r>
        <w:rPr>
          <w:rFonts w:hint="eastAsia" w:ascii="仿宋_GB2312"/>
          <w:sz w:val="32"/>
          <w:szCs w:val="32"/>
          <w:lang w:eastAsia="zh-CN"/>
        </w:rPr>
        <w:t>为学校正常开展教学提供经费保障，为超出协议部分的学生接受优质义务教育提供机会。</w:t>
      </w:r>
    </w:p>
    <w:p>
      <w:pPr>
        <w:ind w:firstLine="640" w:firstLineChars="200"/>
        <w:rPr>
          <w:rFonts w:ascii="黑体" w:eastAsia="黑体"/>
          <w:sz w:val="32"/>
          <w:szCs w:val="32"/>
        </w:rPr>
      </w:pPr>
      <w:r>
        <w:rPr>
          <w:rFonts w:hint="eastAsia" w:ascii="黑体" w:eastAsia="黑体"/>
          <w:sz w:val="32"/>
          <w:szCs w:val="32"/>
        </w:rPr>
        <w:t>五、综合评价情况及评价结论</w:t>
      </w:r>
    </w:p>
    <w:p>
      <w:pPr>
        <w:ind w:firstLine="640" w:firstLineChars="200"/>
        <w:rPr>
          <w:rFonts w:ascii="仿宋_GB2312"/>
          <w:sz w:val="32"/>
          <w:szCs w:val="32"/>
        </w:rPr>
      </w:pPr>
      <w:r>
        <w:rPr>
          <w:rFonts w:hint="eastAsia" w:ascii="仿宋_GB2312" w:hAnsi="仿宋_GB2312" w:cs="宋体"/>
          <w:sz w:val="32"/>
          <w:szCs w:val="32"/>
        </w:rPr>
        <w:t>按照项目绩效评价指标体系严格打分，此项目评分为</w:t>
      </w:r>
      <w:r>
        <w:rPr>
          <w:rFonts w:hint="eastAsia" w:ascii="仿宋_GB2312" w:hAnsi="仿宋_GB2312" w:cs="宋体"/>
          <w:sz w:val="32"/>
          <w:szCs w:val="32"/>
          <w:lang w:val="en-US" w:eastAsia="zh-CN"/>
        </w:rPr>
        <w:t>100</w:t>
      </w:r>
      <w:r>
        <w:rPr>
          <w:rFonts w:hint="eastAsia" w:ascii="仿宋_GB2312" w:hAnsi="仿宋_GB2312" w:cs="宋体"/>
          <w:sz w:val="32"/>
          <w:szCs w:val="32"/>
        </w:rPr>
        <w:t>分，评价等级为优</w:t>
      </w:r>
      <w:r>
        <w:rPr>
          <w:rFonts w:hint="eastAsia" w:ascii="仿宋_GB2312"/>
          <w:bCs/>
          <w:sz w:val="32"/>
          <w:szCs w:val="32"/>
        </w:rPr>
        <w:t>（后附相关评分表）</w:t>
      </w:r>
      <w:r>
        <w:rPr>
          <w:rFonts w:hint="eastAsia" w:ascii="仿宋_GB2312"/>
          <w:sz w:val="32"/>
          <w:szCs w:val="32"/>
        </w:rPr>
        <w:t>。</w:t>
      </w:r>
    </w:p>
    <w:p>
      <w:pPr>
        <w:ind w:firstLine="640" w:firstLineChars="200"/>
        <w:rPr>
          <w:rFonts w:ascii="黑体" w:eastAsia="黑体"/>
          <w:sz w:val="32"/>
          <w:szCs w:val="32"/>
        </w:rPr>
      </w:pPr>
      <w:r>
        <w:rPr>
          <w:rFonts w:hint="eastAsia" w:ascii="黑体" w:eastAsia="黑体"/>
          <w:sz w:val="32"/>
          <w:szCs w:val="32"/>
        </w:rPr>
        <w:t>六、绩效评价结果应用建议</w:t>
      </w:r>
    </w:p>
    <w:p>
      <w:pPr>
        <w:spacing w:line="600" w:lineRule="exact"/>
        <w:ind w:firstLine="599"/>
        <w:rPr>
          <w:rFonts w:ascii="仿宋_GB2312" w:hAnsi="仿宋_GB2312"/>
          <w:kern w:val="1"/>
          <w:sz w:val="32"/>
          <w:szCs w:val="32"/>
        </w:rPr>
      </w:pPr>
      <w:r>
        <w:rPr>
          <w:rFonts w:hint="eastAsia" w:ascii="仿宋_GB2312" w:hAnsi="仿宋_GB2312" w:cs="宋体"/>
          <w:sz w:val="32"/>
          <w:szCs w:val="32"/>
        </w:rPr>
        <w:t>该项目资金年初预算批复下达时，已按相关规定在网上进行了预算公开，接受社会监督。2019年度将继续预算该项经费。</w:t>
      </w:r>
    </w:p>
    <w:p>
      <w:pPr>
        <w:ind w:firstLine="640" w:firstLineChars="200"/>
        <w:rPr>
          <w:rFonts w:ascii="黑体" w:eastAsia="黑体"/>
          <w:sz w:val="32"/>
          <w:szCs w:val="32"/>
        </w:rPr>
      </w:pPr>
      <w:r>
        <w:rPr>
          <w:rFonts w:hint="eastAsia" w:ascii="黑体" w:eastAsia="黑体"/>
          <w:sz w:val="32"/>
          <w:szCs w:val="32"/>
        </w:rPr>
        <w:t>七、主要经验及做法、存在的问题和建议</w:t>
      </w:r>
    </w:p>
    <w:p>
      <w:pPr>
        <w:spacing w:line="600" w:lineRule="exact"/>
        <w:ind w:firstLine="640"/>
        <w:rPr>
          <w:rFonts w:ascii="仿宋_GB2312" w:hAnsi="仿宋_GB2312"/>
          <w:kern w:val="1"/>
          <w:sz w:val="32"/>
          <w:szCs w:val="32"/>
        </w:rPr>
      </w:pPr>
      <w:r>
        <w:rPr>
          <w:rFonts w:hint="eastAsia" w:ascii="仿宋_GB2312" w:hAnsi="仿宋_GB2312"/>
          <w:kern w:val="1"/>
          <w:sz w:val="32"/>
          <w:szCs w:val="32"/>
        </w:rPr>
        <w:t>经查,不存在专项管理、资金分配、资金拨付、资金使用等方面的问题。</w:t>
      </w:r>
    </w:p>
    <w:p>
      <w:pPr>
        <w:ind w:firstLine="640" w:firstLineChars="200"/>
        <w:rPr>
          <w:rFonts w:ascii="黑体" w:eastAsia="黑体"/>
          <w:sz w:val="32"/>
          <w:szCs w:val="32"/>
        </w:rPr>
      </w:pPr>
      <w:r>
        <w:rPr>
          <w:rFonts w:hint="eastAsia" w:ascii="黑体" w:eastAsia="黑体"/>
          <w:sz w:val="32"/>
          <w:szCs w:val="32"/>
        </w:rPr>
        <w:t>八、其他需说明的问题</w:t>
      </w:r>
    </w:p>
    <w:p>
      <w:pPr>
        <w:spacing w:line="600" w:lineRule="exact"/>
        <w:ind w:firstLine="640" w:firstLineChars="200"/>
        <w:rPr>
          <w:rFonts w:ascii="仿宋_GB2312"/>
          <w:sz w:val="32"/>
          <w:szCs w:val="32"/>
        </w:rPr>
      </w:pPr>
      <w:r>
        <w:rPr>
          <w:rFonts w:hint="eastAsia" w:ascii="仿宋_GB2312"/>
          <w:sz w:val="32"/>
          <w:szCs w:val="32"/>
        </w:rPr>
        <w:t>无。</w:t>
      </w:r>
      <w:bookmarkStart w:id="0" w:name="_GoBack"/>
      <w:bookmarkEnd w:id="0"/>
    </w:p>
    <w:p>
      <w:pPr>
        <w:spacing w:line="600" w:lineRule="exact"/>
        <w:ind w:firstLine="640" w:firstLineChars="200"/>
        <w:rPr>
          <w:rFonts w:ascii="仿宋_GB2312"/>
          <w:sz w:val="32"/>
          <w:szCs w:val="32"/>
        </w:rPr>
      </w:pPr>
    </w:p>
    <w:p>
      <w:pPr>
        <w:spacing w:line="600" w:lineRule="exact"/>
        <w:rPr>
          <w:rFonts w:ascii="仿宋_GB2312" w:hAnsi="仿宋_GB2312"/>
          <w:kern w:val="1"/>
          <w:sz w:val="32"/>
          <w:szCs w:val="32"/>
        </w:rPr>
      </w:pPr>
      <w:r>
        <w:rPr>
          <w:rFonts w:hint="eastAsia" w:ascii="仿宋_GB2312" w:hAnsi="仿宋_GB2312"/>
          <w:kern w:val="1"/>
          <w:sz w:val="32"/>
          <w:szCs w:val="32"/>
        </w:rPr>
        <w:t xml:space="preserve">                             昆明市呈贡区教育体育局</w:t>
      </w:r>
    </w:p>
    <w:p>
      <w:pPr>
        <w:spacing w:line="560" w:lineRule="exact"/>
        <w:ind w:firstLine="5440"/>
        <w:rPr>
          <w:rFonts w:ascii="仿宋_GB2312" w:hAnsi="仿宋_GB2312"/>
          <w:kern w:val="1"/>
          <w:sz w:val="32"/>
          <w:szCs w:val="32"/>
        </w:rPr>
      </w:pPr>
      <w:r>
        <w:rPr>
          <w:rFonts w:hint="eastAsia" w:ascii="仿宋_GB2312" w:hAnsi="仿宋_GB2312"/>
          <w:kern w:val="1"/>
          <w:sz w:val="32"/>
          <w:szCs w:val="32"/>
        </w:rPr>
        <w:t>2019年3月</w:t>
      </w:r>
      <w:r>
        <w:rPr>
          <w:rFonts w:hint="eastAsia" w:ascii="仿宋_GB2312" w:hAnsi="仿宋_GB2312"/>
          <w:kern w:val="1"/>
          <w:sz w:val="32"/>
          <w:szCs w:val="32"/>
          <w:lang w:val="en-US" w:eastAsia="zh-CN"/>
        </w:rPr>
        <w:t>22</w:t>
      </w:r>
      <w:r>
        <w:rPr>
          <w:rFonts w:hint="eastAsia" w:ascii="仿宋_GB2312" w:hAnsi="仿宋_GB2312"/>
          <w:kern w:val="1"/>
          <w:sz w:val="32"/>
          <w:szCs w:val="32"/>
        </w:rPr>
        <w:t>日</w:t>
      </w:r>
    </w:p>
    <w:p>
      <w:pPr>
        <w:topLinePunct/>
        <w:spacing w:line="560" w:lineRule="exact"/>
        <w:ind w:firstLine="560" w:firstLineChars="200"/>
        <w:rPr>
          <w:rFonts w:ascii="仿宋_GB2312"/>
        </w:rPr>
      </w:pPr>
    </w:p>
    <w:p>
      <w:pPr>
        <w:rPr>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793"/>
    <w:rsid w:val="00003BEF"/>
    <w:rsid w:val="000651F7"/>
    <w:rsid w:val="000F198C"/>
    <w:rsid w:val="00185563"/>
    <w:rsid w:val="001B41FB"/>
    <w:rsid w:val="00212B36"/>
    <w:rsid w:val="0023589F"/>
    <w:rsid w:val="002414E9"/>
    <w:rsid w:val="0027135C"/>
    <w:rsid w:val="0027408C"/>
    <w:rsid w:val="002D440B"/>
    <w:rsid w:val="003531BD"/>
    <w:rsid w:val="003678F8"/>
    <w:rsid w:val="00371B83"/>
    <w:rsid w:val="00445752"/>
    <w:rsid w:val="00461408"/>
    <w:rsid w:val="004A106B"/>
    <w:rsid w:val="004E5FF9"/>
    <w:rsid w:val="00552612"/>
    <w:rsid w:val="00572385"/>
    <w:rsid w:val="005A03FB"/>
    <w:rsid w:val="00616B27"/>
    <w:rsid w:val="00624EDB"/>
    <w:rsid w:val="00632A7A"/>
    <w:rsid w:val="00677830"/>
    <w:rsid w:val="006B3B28"/>
    <w:rsid w:val="006F26ED"/>
    <w:rsid w:val="00707A64"/>
    <w:rsid w:val="007A13A3"/>
    <w:rsid w:val="007F5971"/>
    <w:rsid w:val="008165FE"/>
    <w:rsid w:val="00835DA2"/>
    <w:rsid w:val="00960FF3"/>
    <w:rsid w:val="0096252B"/>
    <w:rsid w:val="009751F0"/>
    <w:rsid w:val="009F1126"/>
    <w:rsid w:val="00A830FB"/>
    <w:rsid w:val="00AE01E7"/>
    <w:rsid w:val="00B83FE8"/>
    <w:rsid w:val="00BB76A5"/>
    <w:rsid w:val="00BC229E"/>
    <w:rsid w:val="00BC3F25"/>
    <w:rsid w:val="00BF6D06"/>
    <w:rsid w:val="00C310EB"/>
    <w:rsid w:val="00CC1392"/>
    <w:rsid w:val="00CD7704"/>
    <w:rsid w:val="00CF326F"/>
    <w:rsid w:val="00D404F2"/>
    <w:rsid w:val="00E326B9"/>
    <w:rsid w:val="00E51338"/>
    <w:rsid w:val="00EC5793"/>
    <w:rsid w:val="00ED1C07"/>
    <w:rsid w:val="00ED28DF"/>
    <w:rsid w:val="00ED2E79"/>
    <w:rsid w:val="00EE5E5E"/>
    <w:rsid w:val="00F11745"/>
    <w:rsid w:val="00F21734"/>
    <w:rsid w:val="00F956C5"/>
    <w:rsid w:val="051A5443"/>
    <w:rsid w:val="072B6A9E"/>
    <w:rsid w:val="2E3F4917"/>
    <w:rsid w:val="401627A4"/>
    <w:rsid w:val="42A229F3"/>
    <w:rsid w:val="52FF5734"/>
    <w:rsid w:val="5A8F261D"/>
    <w:rsid w:val="6B3A6FEE"/>
    <w:rsid w:val="6F297263"/>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qFormat/>
    <w:locked/>
    <w:uiPriority w:val="99"/>
    <w:rPr>
      <w:rFonts w:eastAsia="仿宋_GB2312"/>
      <w:kern w:val="2"/>
      <w:sz w:val="18"/>
      <w:szCs w:val="18"/>
    </w:rPr>
  </w:style>
  <w:style w:type="character" w:customStyle="1" w:styleId="7">
    <w:name w:val="页眉 Char"/>
    <w:basedOn w:val="4"/>
    <w:link w:val="3"/>
    <w:qFormat/>
    <w:locked/>
    <w:uiPriority w:val="99"/>
    <w:rPr>
      <w:rFonts w:eastAsia="仿宋_GB2312"/>
      <w:kern w:val="2"/>
      <w:sz w:val="18"/>
      <w:szCs w:val="18"/>
    </w:rPr>
  </w:style>
  <w:style w:type="paragraph" w:customStyle="1" w:styleId="8">
    <w:name w:val="Char Char Char Char"/>
    <w:basedOn w:val="1"/>
    <w:uiPriority w:val="99"/>
    <w:rPr>
      <w:rFonts w:eastAsia="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361</Words>
  <Characters>2059</Characters>
  <Lines>17</Lines>
  <Paragraphs>4</Paragraphs>
  <ScaleCrop>false</ScaleCrop>
  <LinksUpToDate>false</LinksUpToDate>
  <CharactersWithSpaces>2416</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2018-04-11T03:05:00Z</dcterms:created>
  <dc:creator>Administrator</dc:creator>
  <cp:lastModifiedBy>Administrator</cp:lastModifiedBy>
  <cp:lastPrinted>2018-04-24T01:11:00Z</cp:lastPrinted>
  <dcterms:modified xsi:type="dcterms:W3CDTF">2019-03-26T08:38:08Z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