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呈贡区教育体育局民办教育专项资金</w:t>
      </w:r>
      <w:r>
        <w:rPr>
          <w:rFonts w:ascii="方正小标宋简体" w:eastAsia="方正小标宋简体"/>
          <w:sz w:val="44"/>
          <w:szCs w:val="44"/>
        </w:rPr>
        <w:t>项目支出绩效评价报告</w:t>
      </w:r>
    </w:p>
    <w:p>
      <w:pPr>
        <w:widowControl/>
        <w:spacing w:line="560" w:lineRule="exact"/>
        <w:jc w:val="left"/>
        <w:rPr>
          <w:rFonts w:ascii="仿宋_GB2312"/>
          <w:kern w:val="1"/>
          <w:sz w:val="32"/>
          <w:szCs w:val="32"/>
        </w:rPr>
      </w:pPr>
      <w:r>
        <w:rPr>
          <w:rFonts w:hint="eastAsia" w:ascii="仿宋_GB2312" w:hAnsi="仿宋_GB2312"/>
          <w:kern w:val="1"/>
          <w:sz w:val="32"/>
          <w:szCs w:val="32"/>
        </w:rPr>
        <w:t>呈贡区财政局：</w:t>
      </w:r>
    </w:p>
    <w:p>
      <w:pPr>
        <w:widowControl/>
        <w:spacing w:line="560" w:lineRule="exact"/>
        <w:ind w:firstLine="480"/>
        <w:jc w:val="left"/>
        <w:rPr>
          <w:rFonts w:ascii="仿宋_GB2312" w:hAnsi="仿宋_GB2312"/>
          <w:kern w:val="1"/>
          <w:sz w:val="32"/>
          <w:szCs w:val="32"/>
        </w:rPr>
      </w:pPr>
      <w:r>
        <w:rPr>
          <w:rFonts w:hint="eastAsia" w:ascii="仿宋_GB2312" w:hAnsi="仿宋_GB2312"/>
          <w:kern w:val="1"/>
          <w:sz w:val="32"/>
          <w:szCs w:val="32"/>
        </w:rPr>
        <w:t>根据《关于开展2018年度区级预算支出绩效自评工作的通知》（呈财〔2019〕21号）精神，我局开展了“民办教育专项资金”项目支出绩效自评工作。现将预算支出绩效自评情况报告如下：</w:t>
      </w:r>
    </w:p>
    <w:p>
      <w:pPr>
        <w:topLinePunct/>
        <w:spacing w:line="560" w:lineRule="exact"/>
        <w:ind w:firstLine="640" w:firstLineChars="200"/>
        <w:rPr>
          <w:rFonts w:ascii="黑体" w:eastAsia="黑体"/>
          <w:sz w:val="32"/>
          <w:szCs w:val="32"/>
        </w:rPr>
      </w:pPr>
      <w:r>
        <w:rPr>
          <w:rFonts w:hint="eastAsia" w:ascii="黑体" w:eastAsia="黑体"/>
          <w:sz w:val="32"/>
          <w:szCs w:val="32"/>
        </w:rPr>
        <w:t>一、基本情况</w:t>
      </w:r>
    </w:p>
    <w:p>
      <w:pPr>
        <w:topLinePunct/>
        <w:spacing w:line="560" w:lineRule="exact"/>
        <w:ind w:firstLine="640" w:firstLineChars="200"/>
        <w:rPr>
          <w:rFonts w:ascii="仿宋_GB2312"/>
          <w:sz w:val="32"/>
          <w:szCs w:val="32"/>
        </w:rPr>
      </w:pPr>
      <w:r>
        <w:rPr>
          <w:rFonts w:hint="eastAsia" w:ascii="仿宋_GB2312" w:hAnsi="仿宋_GB2312" w:cs="仿宋_GB2312"/>
          <w:sz w:val="32"/>
          <w:szCs w:val="32"/>
        </w:rPr>
        <w:t>（一）项目概况</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为全面贯彻国家对民办教育“积极鼓励、大力支持、正确引导、依法管理”的方针，建立促进民办教育的长效机制，加强呈贡区民办教育发展专项资金的管理最大限度的发挥资金使用效益，根据《中华人民共和国民办教育促进法》、《昆明市突破性发展民办教育整体推进工作意见》、《呈贡新区管委会呈贡县人民政府关于突破性发展民办教育整体推进工作的实施意见》等文件要求，省市区对我区民办学校进行了相关补助，具体情况如下：</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1.2018年云南省教育发展专项资金——民办教育资金（民办骨干中小学建设资金）90万元。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2.市级民办教育发展专项资金40.2万元。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3.区级民办教育发展专项资金479.16万元。</w:t>
      </w:r>
    </w:p>
    <w:p>
      <w:pPr>
        <w:topLinePunct/>
        <w:spacing w:line="560" w:lineRule="exact"/>
        <w:ind w:firstLine="640" w:firstLineChars="200"/>
        <w:rPr>
          <w:rFonts w:ascii="仿宋_GB2312"/>
          <w:sz w:val="32"/>
          <w:szCs w:val="32"/>
        </w:rPr>
      </w:pPr>
      <w:r>
        <w:rPr>
          <w:rFonts w:hint="eastAsia" w:ascii="仿宋_GB2312" w:hAnsi="仿宋_GB2312" w:cs="仿宋_GB2312"/>
          <w:sz w:val="32"/>
          <w:szCs w:val="32"/>
        </w:rPr>
        <w:t>（二）项目绩效目标</w:t>
      </w:r>
    </w:p>
    <w:p>
      <w:pPr>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1.项目绩效总目标。该项目以提升呈贡区民办学校综合实力和教育教学水平为目标，全面提高民办学校办学实力、教育质量、管理水平、办学效益及辐射能力，更好的为呈贡区经济发展和社会发展服务。</w:t>
      </w:r>
    </w:p>
    <w:p>
      <w:pPr>
        <w:spacing w:line="560" w:lineRule="exact"/>
        <w:ind w:firstLine="640" w:firstLineChars="200"/>
        <w:rPr>
          <w:rFonts w:ascii="仿宋_GB2312"/>
          <w:sz w:val="32"/>
          <w:szCs w:val="32"/>
        </w:rPr>
      </w:pPr>
      <w:r>
        <w:rPr>
          <w:rFonts w:ascii="仿宋_GB2312"/>
          <w:sz w:val="32"/>
          <w:szCs w:val="32"/>
        </w:rPr>
        <w:t>2.</w:t>
      </w:r>
      <w:r>
        <w:rPr>
          <w:rFonts w:hint="eastAsia" w:ascii="仿宋_GB2312"/>
          <w:sz w:val="32"/>
          <w:szCs w:val="32"/>
        </w:rPr>
        <w:t>项目绩效阶段性目标。根据资金下达时间及时下拨到各校，各校根据建设项目、采购项目情况据实列支该项经费。</w:t>
      </w:r>
    </w:p>
    <w:p>
      <w:pPr>
        <w:topLinePunct/>
        <w:spacing w:line="560" w:lineRule="exact"/>
        <w:ind w:firstLine="640" w:firstLineChars="200"/>
        <w:rPr>
          <w:rFonts w:ascii="仿宋_GB2312"/>
          <w:b/>
          <w:sz w:val="32"/>
          <w:szCs w:val="32"/>
        </w:rPr>
      </w:pPr>
      <w:r>
        <w:rPr>
          <w:rFonts w:hint="eastAsia" w:ascii="黑体" w:eastAsia="黑体"/>
          <w:sz w:val="32"/>
          <w:szCs w:val="32"/>
        </w:rPr>
        <w:t>二、项目单位绩效报告情况</w:t>
      </w:r>
      <w:r>
        <w:rPr>
          <w:rFonts w:ascii="仿宋_GB2312"/>
          <w:b/>
          <w:sz w:val="32"/>
          <w:szCs w:val="32"/>
        </w:rPr>
        <w:tab/>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1.2018年云南省教育发展专项资金——民办教育资金（民办骨干中小学建设资金）：昆明师专附小呈贡海岸城分校民办骨干中小学建设补助30万元；云南师范大学附属七彩云南小学民办骨干中小学建设补助10万元；呈贡区育才学校民办骨干中小学建设补助10万元；四川师范大学附属昆明实验学校（天娇校区）民办骨干中小学建设补助10万元；昆明呈贡新区中学（云南大学附属中学呈贡校区）民办骨干中小学建设补助10万元；云南民族大学附属中学民办骨干中小学建设补助20元，共计90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2.市级民办教育发展专项资金：昆明呈贡新区中学（云南大学附属中学呈贡校区）优秀义务教育阶段奖励10万元、公费生学位补助25.2万元；云南民族大学附中中学优秀义务教育阶段奖励5万元，共计40.2万元。</w:t>
      </w:r>
    </w:p>
    <w:p>
      <w:pPr>
        <w:topLinePunct/>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3.区级民办教育发展专项资金：</w:t>
      </w:r>
    </w:p>
    <w:p>
      <w:pPr>
        <w:topLinePunct/>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（1）对2017年年检考核评分达到优秀的民办学校（园）按规定给予奖励，发放年度检审优秀奖159万元。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（2）新开班幼儿园补助10万元。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（3）对办学水平上升等级的幼儿园给予办学水平等级补助43.56万元。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（4）对符合公建民营性质的民办学校和普惠性幼儿园给予补助177.87万元。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（5）对学校创建工作给予补助8.922万元。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（6）对申报省市项目配套资金的民办学校给予补助26万元。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（7）民办中小学、幼儿园和短期培训学校年检评审、表彰、奖牌、标语、宣传资料制作费用</w:t>
      </w:r>
      <w:r>
        <w:rPr>
          <w:rFonts w:ascii="仿宋_GB2312" w:hAnsi="仿宋_GB2312" w:cs="仿宋_GB2312"/>
          <w:sz w:val="32"/>
          <w:szCs w:val="32"/>
        </w:rPr>
        <w:t>2.298</w:t>
      </w:r>
      <w:r>
        <w:rPr>
          <w:rFonts w:hint="eastAsia" w:ascii="仿宋_GB2312" w:hAnsi="仿宋_GB2312" w:cs="仿宋_GB2312"/>
          <w:sz w:val="32"/>
          <w:szCs w:val="32"/>
        </w:rPr>
        <w:t>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（8）民办学校合作办学协议约定补助资金50万元。</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共计479.16万元。</w:t>
      </w:r>
    </w:p>
    <w:p>
      <w:pPr>
        <w:topLinePunct/>
        <w:spacing w:line="560" w:lineRule="exact"/>
        <w:ind w:firstLine="640" w:firstLineChars="200"/>
        <w:rPr>
          <w:rFonts w:ascii="黑体" w:eastAsia="黑体"/>
          <w:sz w:val="32"/>
          <w:szCs w:val="32"/>
        </w:rPr>
      </w:pPr>
      <w:r>
        <w:rPr>
          <w:rFonts w:hint="eastAsia" w:ascii="黑体" w:eastAsia="黑体"/>
          <w:sz w:val="32"/>
          <w:szCs w:val="32"/>
        </w:rPr>
        <w:t>三、绩效评价工作情况</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（一）绩效评价目的。进一步加强对财政预算资金使用的监督和管理，强化预算支出的责任与效率，提高财政资金使用效益。</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二）绩效评价原则、评价指标体系、评价方法。坚持科学规范、公正公开、分级分类、绩效相关的绩效评价原则，参照项目支出绩效自评指标评分表制定该项目评价体系，结合实际采用成本效益分析法、比较法、因素分析法、最低成本法、公众评价法等方法进行绩效评价。</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（三）绩效评价工作过程</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1.前期准备。召开专题会，局计财科传达此次绩效评价工作的文件精神，并进行培训。</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2.组织实施。教育科牵头、局计财科配合，成本效益分析法、比较法、公众评价法等方法进行绩效评价。</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3.分析评价。综合各种方法得出的评价意见，并进行系统分析，确定评价意见。</w:t>
      </w:r>
    </w:p>
    <w:p>
      <w:pPr>
        <w:topLinePunct/>
        <w:spacing w:line="560" w:lineRule="exact"/>
        <w:ind w:left="560" w:leftChars="200" w:firstLine="1"/>
        <w:rPr>
          <w:rFonts w:ascii="仿宋_GB2312"/>
          <w:b/>
          <w:sz w:val="32"/>
          <w:szCs w:val="32"/>
        </w:rPr>
      </w:pPr>
      <w:r>
        <w:rPr>
          <w:rFonts w:hint="eastAsia" w:ascii="黑体" w:eastAsia="黑体"/>
          <w:sz w:val="32"/>
          <w:szCs w:val="32"/>
        </w:rPr>
        <w:t>四、绩效评价指标分析情况</w:t>
      </w:r>
      <w:r>
        <w:rPr>
          <w:rFonts w:ascii="仿宋_GB2312"/>
          <w:b/>
          <w:sz w:val="32"/>
          <w:szCs w:val="32"/>
        </w:rPr>
        <w:br w:type="textWrapping"/>
      </w:r>
      <w:r>
        <w:rPr>
          <w:rFonts w:hint="eastAsia" w:ascii="仿宋_GB2312" w:hAnsi="仿宋_GB2312" w:cs="仿宋_GB2312"/>
          <w:sz w:val="32"/>
          <w:szCs w:val="32"/>
        </w:rPr>
        <w:t>（一）项目资金情况分析。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各项资金预算科学，资金到位率100%，资金已全部下拨或使用完毕，项目资金实际使用率100%。项目资金管理使用严格按照省市相关资金管理办法及《昆明市呈贡区民办教育发展专项资金管理办法（2017年修订）》执行，各项审批、付款程序规范、有序，确保了资金的使用效率和项目的顺利实施。同时加强对民办学校项目资金的管理，确保专款专用，充分发挥财政资金的使用效益。</w:t>
      </w:r>
    </w:p>
    <w:p>
      <w:pPr>
        <w:topLinePunct/>
        <w:spacing w:line="560" w:lineRule="exact"/>
        <w:ind w:firstLine="640" w:firstLineChars="200"/>
        <w:rPr>
          <w:rFonts w:ascii="仿宋_GB2312"/>
          <w:sz w:val="32"/>
          <w:szCs w:val="32"/>
        </w:rPr>
      </w:pPr>
      <w:r>
        <w:rPr>
          <w:rFonts w:hint="eastAsia" w:ascii="仿宋_GB2312"/>
          <w:sz w:val="32"/>
          <w:szCs w:val="32"/>
        </w:rPr>
        <w:t>（二）项目实施情况分析</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1.项目组织情况分析。项目立项充分考虑了工作实际，申报程序合规，手续完备，目标体系设置合理。</w:t>
      </w:r>
    </w:p>
    <w:p>
      <w:pPr>
        <w:topLinePunct/>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项目管理情况分析。全面规范财务管理，严格执行民办教育专项资金开支的范围和标准，经费支出规范、合理，无虚列、虚报冒领和挤占挪用的现象，票据规范、合法有效。财务信息公开透明，并在学校公示栏进行公示，主动接受师生和群众监督。区教育局定期组织民办教育专项资金使用情况进行审计，对学校财务管理进行检查指导。</w:t>
      </w:r>
    </w:p>
    <w:p>
      <w:pPr>
        <w:topLinePunct/>
        <w:spacing w:line="560" w:lineRule="exact"/>
        <w:ind w:firstLine="640" w:firstLineChars="200"/>
        <w:rPr>
          <w:rFonts w:ascii="仿宋_GB2312"/>
          <w:sz w:val="32"/>
          <w:szCs w:val="32"/>
        </w:rPr>
      </w:pPr>
      <w:r>
        <w:rPr>
          <w:rFonts w:hint="eastAsia" w:ascii="仿宋_GB2312"/>
          <w:sz w:val="32"/>
          <w:szCs w:val="32"/>
        </w:rPr>
        <w:t>（三）项目绩效情况分析</w:t>
      </w:r>
    </w:p>
    <w:p>
      <w:pPr>
        <w:topLinePunct/>
        <w:spacing w:line="560" w:lineRule="exact"/>
        <w:ind w:firstLine="640" w:firstLineChars="200"/>
        <w:rPr>
          <w:rFonts w:ascii="仿宋_GB2312"/>
          <w:sz w:val="32"/>
          <w:szCs w:val="32"/>
        </w:rPr>
      </w:pPr>
      <w:r>
        <w:rPr>
          <w:rFonts w:hint="eastAsia" w:ascii="仿宋_GB2312"/>
          <w:sz w:val="32"/>
          <w:szCs w:val="32"/>
        </w:rPr>
        <w:t>1.项目经济性分析。该项目精细测算成本，严格控制成本，达到节约财政资金的目标。</w:t>
      </w:r>
    </w:p>
    <w:p>
      <w:pPr>
        <w:topLinePunct/>
        <w:spacing w:line="560" w:lineRule="exact"/>
        <w:ind w:firstLine="640" w:firstLineChars="200"/>
        <w:rPr>
          <w:rFonts w:ascii="仿宋_GB2312"/>
          <w:sz w:val="32"/>
          <w:szCs w:val="32"/>
        </w:rPr>
      </w:pPr>
      <w:r>
        <w:rPr>
          <w:rFonts w:hint="eastAsia" w:ascii="仿宋_GB2312"/>
          <w:sz w:val="32"/>
          <w:szCs w:val="32"/>
        </w:rPr>
        <w:t>2.项目的效率性分析。项目按计划组织实施，完成质量较好。</w:t>
      </w:r>
    </w:p>
    <w:p>
      <w:pPr>
        <w:topLinePunct/>
        <w:spacing w:line="560" w:lineRule="exact"/>
        <w:ind w:firstLine="640" w:firstLineChars="200"/>
        <w:rPr>
          <w:rFonts w:ascii="仿宋_GB2312" w:hAnsi="Calibri" w:cs="仿宋_GB2312"/>
          <w:sz w:val="32"/>
          <w:szCs w:val="32"/>
        </w:rPr>
      </w:pPr>
      <w:r>
        <w:rPr>
          <w:rFonts w:hint="eastAsia" w:ascii="仿宋_GB2312"/>
          <w:sz w:val="32"/>
          <w:szCs w:val="32"/>
        </w:rPr>
        <w:t>3.项目的效益性分析。随着呈贡经济建设的发展，外来人口的增加，导致教育负担加重。民办教育在一定程度上分解了政府的教育负担，增加了教育供给方式的多样性和选择性，满足了社会不同层次的人对教育的需求。通过项目实施使办学优秀的民办学校得到部分财政资金的支持，用于改善民办学校的办学条件，为呈贡区域内的中小学生、学龄前儿童提供更多更好的教育资源和优越成长环境，促进了民办教育的均衡发展。</w:t>
      </w:r>
    </w:p>
    <w:p>
      <w:pPr>
        <w:ind w:firstLine="640" w:firstLineChars="200"/>
        <w:rPr>
          <w:rFonts w:ascii="黑体" w:eastAsia="黑体"/>
          <w:sz w:val="32"/>
          <w:szCs w:val="32"/>
        </w:rPr>
      </w:pPr>
      <w:r>
        <w:rPr>
          <w:rFonts w:hint="eastAsia" w:ascii="黑体" w:eastAsia="黑体"/>
          <w:sz w:val="32"/>
          <w:szCs w:val="32"/>
        </w:rPr>
        <w:t>五、综合评价情况及评价结论</w:t>
      </w:r>
    </w:p>
    <w:p>
      <w:pPr>
        <w:ind w:firstLine="640" w:firstLineChars="200"/>
        <w:rPr>
          <w:rFonts w:ascii="仿宋_GB2312"/>
          <w:sz w:val="32"/>
          <w:szCs w:val="32"/>
        </w:rPr>
      </w:pPr>
      <w:r>
        <w:rPr>
          <w:rFonts w:hint="eastAsia" w:ascii="仿宋_GB2312" w:hAnsi="仿宋_GB2312" w:cs="宋体"/>
          <w:sz w:val="32"/>
          <w:szCs w:val="32"/>
        </w:rPr>
        <w:t>按照项目绩效评价指标体系严格打分，此项目评分为98分，评价等级为优</w:t>
      </w:r>
      <w:r>
        <w:rPr>
          <w:rFonts w:hint="eastAsia" w:ascii="仿宋_GB2312"/>
          <w:bCs/>
          <w:sz w:val="32"/>
          <w:szCs w:val="32"/>
        </w:rPr>
        <w:t>（后附相关评分表）</w:t>
      </w:r>
      <w:r>
        <w:rPr>
          <w:rFonts w:hint="eastAsia" w:ascii="仿宋_GB2312"/>
          <w:sz w:val="32"/>
          <w:szCs w:val="32"/>
        </w:rPr>
        <w:t>。</w:t>
      </w:r>
    </w:p>
    <w:p>
      <w:pPr>
        <w:ind w:firstLine="640" w:firstLineChars="200"/>
        <w:rPr>
          <w:rFonts w:ascii="黑体" w:eastAsia="黑体"/>
          <w:sz w:val="32"/>
          <w:szCs w:val="32"/>
        </w:rPr>
      </w:pPr>
      <w:r>
        <w:rPr>
          <w:rFonts w:hint="eastAsia" w:ascii="黑体" w:eastAsia="黑体"/>
          <w:sz w:val="32"/>
          <w:szCs w:val="32"/>
        </w:rPr>
        <w:t>六、绩效评价结果应用建议</w:t>
      </w:r>
    </w:p>
    <w:p>
      <w:pPr>
        <w:spacing w:line="600" w:lineRule="exact"/>
        <w:ind w:firstLine="599"/>
        <w:rPr>
          <w:rFonts w:ascii="仿宋_GB2312" w:hAnsi="仿宋_GB2312"/>
          <w:kern w:val="1"/>
          <w:sz w:val="32"/>
          <w:szCs w:val="32"/>
        </w:rPr>
      </w:pPr>
      <w:r>
        <w:rPr>
          <w:rFonts w:hint="eastAsia" w:ascii="仿宋_GB2312" w:hAnsi="仿宋_GB2312" w:cs="宋体"/>
          <w:sz w:val="32"/>
          <w:szCs w:val="32"/>
        </w:rPr>
        <w:t>该项目资金年初预算批复下达时，已按相关规定在网上进行了预算公开，接受社会监督。2019年度将继续预算该项经费。</w:t>
      </w:r>
    </w:p>
    <w:p>
      <w:pPr>
        <w:ind w:firstLine="640" w:firstLineChars="200"/>
        <w:rPr>
          <w:rFonts w:ascii="黑体" w:eastAsia="黑体"/>
          <w:sz w:val="32"/>
          <w:szCs w:val="32"/>
        </w:rPr>
      </w:pPr>
      <w:r>
        <w:rPr>
          <w:rFonts w:hint="eastAsia" w:ascii="黑体" w:eastAsia="黑体"/>
          <w:sz w:val="32"/>
          <w:szCs w:val="32"/>
        </w:rPr>
        <w:t>七、主要经验及做法、存在的问题和建议</w:t>
      </w:r>
    </w:p>
    <w:p>
      <w:pPr>
        <w:spacing w:line="600" w:lineRule="exact"/>
        <w:ind w:firstLine="640"/>
        <w:rPr>
          <w:rFonts w:ascii="仿宋_GB2312" w:hAnsi="仿宋_GB2312"/>
          <w:kern w:val="1"/>
          <w:sz w:val="32"/>
          <w:szCs w:val="32"/>
        </w:rPr>
      </w:pPr>
      <w:r>
        <w:rPr>
          <w:rFonts w:hint="eastAsia" w:ascii="仿宋_GB2312" w:hAnsi="仿宋_GB2312"/>
          <w:kern w:val="1"/>
          <w:sz w:val="32"/>
          <w:szCs w:val="32"/>
        </w:rPr>
        <w:t>我局将进一步完善民办教育专项资金的各项管理制度，管好、用好、用足专项资金，为学校健康持续发展提供有力保障，为办新区人民满意的教育做出更大贡献。经查,不存在专项管理、资金分配、资金拨付、资金使用等方面的问题。</w:t>
      </w:r>
    </w:p>
    <w:p>
      <w:pPr>
        <w:ind w:firstLine="640" w:firstLineChars="200"/>
        <w:rPr>
          <w:rFonts w:ascii="黑体" w:eastAsia="黑体"/>
          <w:sz w:val="32"/>
          <w:szCs w:val="32"/>
        </w:rPr>
      </w:pPr>
      <w:r>
        <w:rPr>
          <w:rFonts w:hint="eastAsia" w:ascii="黑体" w:eastAsia="黑体"/>
          <w:sz w:val="32"/>
          <w:szCs w:val="32"/>
        </w:rPr>
        <w:t>八、其他需说明的问题</w:t>
      </w:r>
    </w:p>
    <w:p>
      <w:pPr>
        <w:spacing w:line="600" w:lineRule="exact"/>
        <w:ind w:firstLine="640" w:firstLineChars="200"/>
        <w:rPr>
          <w:rFonts w:ascii="仿宋_GB2312"/>
          <w:sz w:val="32"/>
          <w:szCs w:val="32"/>
        </w:rPr>
      </w:pPr>
      <w:r>
        <w:rPr>
          <w:rFonts w:hint="eastAsia" w:ascii="仿宋_GB2312"/>
          <w:sz w:val="32"/>
          <w:szCs w:val="32"/>
        </w:rPr>
        <w:t>无。</w:t>
      </w:r>
    </w:p>
    <w:p>
      <w:pPr>
        <w:spacing w:line="600" w:lineRule="exact"/>
        <w:ind w:firstLine="640" w:firstLineChars="200"/>
        <w:rPr>
          <w:rFonts w:ascii="仿宋_GB2312"/>
          <w:sz w:val="32"/>
          <w:szCs w:val="32"/>
        </w:rPr>
      </w:pPr>
    </w:p>
    <w:p>
      <w:pPr>
        <w:spacing w:line="600" w:lineRule="exact"/>
        <w:rPr>
          <w:rFonts w:ascii="仿宋_GB2312" w:hAnsi="仿宋_GB2312"/>
          <w:kern w:val="1"/>
          <w:sz w:val="32"/>
          <w:szCs w:val="32"/>
        </w:rPr>
      </w:pPr>
      <w:r>
        <w:rPr>
          <w:rFonts w:hint="eastAsia" w:ascii="仿宋_GB2312" w:hAnsi="仿宋_GB2312"/>
          <w:kern w:val="1"/>
          <w:sz w:val="32"/>
          <w:szCs w:val="32"/>
        </w:rPr>
        <w:t xml:space="preserve">                             昆明市呈贡区教育体育局</w:t>
      </w:r>
    </w:p>
    <w:p>
      <w:pPr>
        <w:spacing w:line="560" w:lineRule="exact"/>
        <w:ind w:firstLine="5440"/>
        <w:rPr>
          <w:rFonts w:ascii="仿宋_GB2312" w:hAnsi="仿宋_GB2312"/>
          <w:kern w:val="1"/>
          <w:sz w:val="32"/>
          <w:szCs w:val="32"/>
        </w:rPr>
      </w:pPr>
      <w:r>
        <w:rPr>
          <w:rFonts w:hint="eastAsia" w:ascii="仿宋_GB2312" w:hAnsi="仿宋_GB2312"/>
          <w:kern w:val="1"/>
          <w:sz w:val="32"/>
          <w:szCs w:val="32"/>
        </w:rPr>
        <w:t>2019年3月</w:t>
      </w:r>
      <w:r>
        <w:rPr>
          <w:rFonts w:hint="eastAsia" w:ascii="仿宋_GB2312" w:hAnsi="仿宋_GB2312"/>
          <w:kern w:val="1"/>
          <w:sz w:val="32"/>
          <w:szCs w:val="32"/>
          <w:lang w:val="en-US" w:eastAsia="zh-CN"/>
        </w:rPr>
        <w:t>22</w:t>
      </w:r>
      <w:bookmarkStart w:id="0" w:name="_GoBack"/>
      <w:bookmarkEnd w:id="0"/>
      <w:r>
        <w:rPr>
          <w:rFonts w:hint="eastAsia" w:ascii="仿宋_GB2312" w:hAnsi="仿宋_GB2312"/>
          <w:kern w:val="1"/>
          <w:sz w:val="32"/>
          <w:szCs w:val="32"/>
        </w:rPr>
        <w:t>日</w:t>
      </w:r>
    </w:p>
    <w:p>
      <w:pPr>
        <w:topLinePunct/>
        <w:spacing w:line="560" w:lineRule="exact"/>
        <w:ind w:firstLine="560" w:firstLineChars="200"/>
        <w:rPr>
          <w:rFonts w:ascii="仿宋_GB2312"/>
        </w:rPr>
      </w:pPr>
    </w:p>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793"/>
    <w:rsid w:val="00003BEF"/>
    <w:rsid w:val="000651F7"/>
    <w:rsid w:val="000F198C"/>
    <w:rsid w:val="00150334"/>
    <w:rsid w:val="00185563"/>
    <w:rsid w:val="001B41FB"/>
    <w:rsid w:val="00212B36"/>
    <w:rsid w:val="0023589F"/>
    <w:rsid w:val="002414E9"/>
    <w:rsid w:val="0027135C"/>
    <w:rsid w:val="0027408C"/>
    <w:rsid w:val="003531BD"/>
    <w:rsid w:val="003678F8"/>
    <w:rsid w:val="00371B83"/>
    <w:rsid w:val="00445752"/>
    <w:rsid w:val="00461408"/>
    <w:rsid w:val="004A106B"/>
    <w:rsid w:val="00552612"/>
    <w:rsid w:val="00572385"/>
    <w:rsid w:val="005A03FB"/>
    <w:rsid w:val="005E42D7"/>
    <w:rsid w:val="00624EDB"/>
    <w:rsid w:val="00632A7A"/>
    <w:rsid w:val="00677830"/>
    <w:rsid w:val="006B3B28"/>
    <w:rsid w:val="006F26ED"/>
    <w:rsid w:val="00707A64"/>
    <w:rsid w:val="00780F15"/>
    <w:rsid w:val="007A13A3"/>
    <w:rsid w:val="007F5971"/>
    <w:rsid w:val="008165FE"/>
    <w:rsid w:val="00835DA2"/>
    <w:rsid w:val="008E02CD"/>
    <w:rsid w:val="00960FF3"/>
    <w:rsid w:val="0096252B"/>
    <w:rsid w:val="009751F0"/>
    <w:rsid w:val="009F1126"/>
    <w:rsid w:val="00A830FB"/>
    <w:rsid w:val="00AE01E7"/>
    <w:rsid w:val="00B83FE8"/>
    <w:rsid w:val="00BB76A5"/>
    <w:rsid w:val="00BC229E"/>
    <w:rsid w:val="00BC3F25"/>
    <w:rsid w:val="00BF6D06"/>
    <w:rsid w:val="00C310EB"/>
    <w:rsid w:val="00CA0C1C"/>
    <w:rsid w:val="00CC1392"/>
    <w:rsid w:val="00CD7704"/>
    <w:rsid w:val="00CF326F"/>
    <w:rsid w:val="00D404F2"/>
    <w:rsid w:val="00E326B9"/>
    <w:rsid w:val="00E51338"/>
    <w:rsid w:val="00EC5793"/>
    <w:rsid w:val="00ED1C07"/>
    <w:rsid w:val="00ED28DF"/>
    <w:rsid w:val="00ED2E79"/>
    <w:rsid w:val="00EE5E5E"/>
    <w:rsid w:val="00F11745"/>
    <w:rsid w:val="00F21734"/>
    <w:rsid w:val="00F956C5"/>
    <w:rsid w:val="051A5443"/>
    <w:rsid w:val="072B6A9E"/>
    <w:rsid w:val="16412585"/>
    <w:rsid w:val="2E3F4917"/>
    <w:rsid w:val="401627A4"/>
    <w:rsid w:val="4700228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eastAsia="仿宋_GB2312"/>
      <w:kern w:val="2"/>
      <w:sz w:val="18"/>
      <w:szCs w:val="18"/>
    </w:rPr>
  </w:style>
  <w:style w:type="character" w:customStyle="1" w:styleId="7">
    <w:name w:val="页眉 Char"/>
    <w:basedOn w:val="4"/>
    <w:link w:val="3"/>
    <w:locked/>
    <w:uiPriority w:val="99"/>
    <w:rPr>
      <w:rFonts w:eastAsia="仿宋_GB2312"/>
      <w:kern w:val="2"/>
      <w:sz w:val="18"/>
      <w:szCs w:val="18"/>
    </w:rPr>
  </w:style>
  <w:style w:type="paragraph" w:customStyle="1" w:styleId="8">
    <w:name w:val="Char Char Char Char"/>
    <w:basedOn w:val="1"/>
    <w:uiPriority w:val="99"/>
    <w:rPr>
      <w:rFonts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381</Words>
  <Characters>2172</Characters>
  <Lines>18</Lines>
  <Paragraphs>5</Paragraphs>
  <ScaleCrop>false</ScaleCrop>
  <LinksUpToDate>false</LinksUpToDate>
  <CharactersWithSpaces>2548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2018-04-11T03:05:00Z</dcterms:created>
  <dc:creator>Administrator</dc:creator>
  <cp:lastModifiedBy>Administrator</cp:lastModifiedBy>
  <cp:lastPrinted>2019-03-25T06:33:00Z</cp:lastPrinted>
  <dcterms:modified xsi:type="dcterms:W3CDTF">2019-03-26T08:38:37Z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