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7BD" w:rsidRDefault="00990A4F">
      <w:pPr>
        <w:spacing w:line="560" w:lineRule="exact"/>
        <w:jc w:val="left"/>
        <w:rPr>
          <w:rFonts w:ascii="仿宋_GB2312" w:hAnsi="华文中宋"/>
          <w:bCs/>
          <w:szCs w:val="32"/>
        </w:rPr>
      </w:pPr>
      <w:r>
        <w:rPr>
          <w:rFonts w:ascii="仿宋_GB2312" w:hAnsi="华文中宋" w:hint="eastAsia"/>
          <w:bCs/>
          <w:szCs w:val="32"/>
        </w:rPr>
        <w:t>附件</w:t>
      </w:r>
      <w:r>
        <w:rPr>
          <w:rFonts w:ascii="仿宋_GB2312" w:hAnsi="华文中宋" w:hint="eastAsia"/>
          <w:bCs/>
          <w:szCs w:val="32"/>
        </w:rPr>
        <w:t>4-4</w:t>
      </w:r>
      <w:r>
        <w:rPr>
          <w:rFonts w:ascii="仿宋_GB2312" w:hAnsi="华文中宋" w:hint="eastAsia"/>
          <w:bCs/>
          <w:szCs w:val="32"/>
        </w:rPr>
        <w:t>:</w:t>
      </w:r>
    </w:p>
    <w:p w:rsidR="009547BD" w:rsidRDefault="00990A4F">
      <w:pPr>
        <w:spacing w:line="56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2018</w:t>
      </w:r>
      <w:r>
        <w:rPr>
          <w:rFonts w:hint="eastAsia"/>
          <w:sz w:val="44"/>
          <w:szCs w:val="44"/>
        </w:rPr>
        <w:t>年午餐管理经费及学生食堂工作人员</w:t>
      </w:r>
    </w:p>
    <w:p w:rsidR="009547BD" w:rsidRDefault="00990A4F">
      <w:pPr>
        <w:spacing w:line="56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工资</w:t>
      </w:r>
      <w:r>
        <w:rPr>
          <w:rFonts w:hint="eastAsia"/>
          <w:sz w:val="44"/>
          <w:szCs w:val="44"/>
        </w:rPr>
        <w:t>项目支出</w:t>
      </w:r>
      <w:r>
        <w:rPr>
          <w:rFonts w:hint="eastAsia"/>
          <w:sz w:val="44"/>
          <w:szCs w:val="44"/>
        </w:rPr>
        <w:t>绩效</w:t>
      </w:r>
      <w:r>
        <w:rPr>
          <w:rFonts w:hint="eastAsia"/>
          <w:sz w:val="44"/>
          <w:szCs w:val="44"/>
        </w:rPr>
        <w:t>评价报告</w:t>
      </w:r>
    </w:p>
    <w:p w:rsidR="009547BD" w:rsidRDefault="009547BD">
      <w:pPr>
        <w:spacing w:line="560" w:lineRule="exact"/>
        <w:jc w:val="center"/>
        <w:rPr>
          <w:sz w:val="44"/>
          <w:szCs w:val="44"/>
        </w:rPr>
      </w:pPr>
    </w:p>
    <w:p w:rsidR="009547BD" w:rsidRDefault="00990A4F">
      <w:pPr>
        <w:spacing w:line="560" w:lineRule="exact"/>
        <w:ind w:firstLine="640"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一、基本情况</w:t>
      </w:r>
    </w:p>
    <w:p w:rsidR="009547BD" w:rsidRDefault="00990A4F">
      <w:pPr>
        <w:spacing w:line="560" w:lineRule="exact"/>
        <w:ind w:firstLine="64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根据</w:t>
      </w:r>
      <w:r>
        <w:rPr>
          <w:rFonts w:ascii="仿宋_GB2312" w:hAnsi="仿宋_GB2312" w:cs="仿宋_GB2312" w:hint="eastAsia"/>
          <w:szCs w:val="32"/>
        </w:rPr>
        <w:t>农村义务教育学生</w:t>
      </w:r>
      <w:r>
        <w:rPr>
          <w:rFonts w:ascii="仿宋_GB2312" w:hAnsi="仿宋_GB2312" w:cs="仿宋_GB2312" w:hint="eastAsia"/>
          <w:szCs w:val="32"/>
        </w:rPr>
        <w:t>营养改善计划需要，配备了</w:t>
      </w:r>
      <w:r>
        <w:rPr>
          <w:rFonts w:ascii="仿宋_GB2312" w:hAnsi="仿宋_GB2312" w:cs="仿宋_GB2312" w:hint="eastAsia"/>
          <w:szCs w:val="32"/>
        </w:rPr>
        <w:t>3</w:t>
      </w:r>
      <w:r>
        <w:rPr>
          <w:rFonts w:ascii="仿宋_GB2312" w:hAnsi="仿宋_GB2312" w:cs="仿宋_GB2312" w:hint="eastAsia"/>
          <w:szCs w:val="32"/>
        </w:rPr>
        <w:t>名</w:t>
      </w:r>
      <w:r>
        <w:rPr>
          <w:rFonts w:ascii="仿宋_GB2312" w:hAnsi="仿宋_GB2312" w:cs="仿宋_GB2312" w:hint="eastAsia"/>
          <w:szCs w:val="32"/>
        </w:rPr>
        <w:t>农村义务教育学生</w:t>
      </w:r>
      <w:r>
        <w:rPr>
          <w:rFonts w:ascii="仿宋_GB2312" w:hAnsi="仿宋_GB2312" w:cs="仿宋_GB2312" w:hint="eastAsia"/>
          <w:szCs w:val="32"/>
        </w:rPr>
        <w:t>营养改善计划临时监管人员，其中</w:t>
      </w:r>
      <w:r>
        <w:rPr>
          <w:rFonts w:ascii="仿宋_GB2312" w:hAnsi="仿宋_GB2312" w:cs="仿宋_GB2312" w:hint="eastAsia"/>
          <w:szCs w:val="32"/>
        </w:rPr>
        <w:t>1</w:t>
      </w:r>
      <w:r>
        <w:rPr>
          <w:rFonts w:ascii="仿宋_GB2312" w:hAnsi="仿宋_GB2312" w:cs="仿宋_GB2312" w:hint="eastAsia"/>
          <w:szCs w:val="32"/>
        </w:rPr>
        <w:t>人工资标准为</w:t>
      </w:r>
      <w:r>
        <w:rPr>
          <w:rFonts w:ascii="仿宋_GB2312" w:hAnsi="仿宋_GB2312" w:cs="仿宋_GB2312" w:hint="eastAsia"/>
          <w:szCs w:val="32"/>
        </w:rPr>
        <w:t>3200</w:t>
      </w:r>
      <w:r>
        <w:rPr>
          <w:rFonts w:ascii="仿宋_GB2312" w:hAnsi="仿宋_GB2312" w:cs="仿宋_GB2312" w:hint="eastAsia"/>
          <w:szCs w:val="32"/>
        </w:rPr>
        <w:t>元</w:t>
      </w:r>
      <w:r>
        <w:rPr>
          <w:rFonts w:ascii="仿宋_GB2312" w:hAnsi="仿宋_GB2312" w:cs="仿宋_GB2312" w:hint="eastAsia"/>
          <w:szCs w:val="32"/>
        </w:rPr>
        <w:t>/</w:t>
      </w:r>
      <w:r>
        <w:rPr>
          <w:rFonts w:ascii="仿宋_GB2312" w:hAnsi="仿宋_GB2312" w:cs="仿宋_GB2312" w:hint="eastAsia"/>
          <w:szCs w:val="32"/>
        </w:rPr>
        <w:t>月，其余</w:t>
      </w:r>
      <w:r>
        <w:rPr>
          <w:rFonts w:ascii="仿宋_GB2312" w:hAnsi="仿宋_GB2312" w:cs="仿宋_GB2312" w:hint="eastAsia"/>
          <w:szCs w:val="32"/>
        </w:rPr>
        <w:t>2</w:t>
      </w:r>
      <w:r>
        <w:rPr>
          <w:rFonts w:ascii="仿宋_GB2312" w:hAnsi="仿宋_GB2312" w:cs="仿宋_GB2312" w:hint="eastAsia"/>
          <w:szCs w:val="32"/>
        </w:rPr>
        <w:t>人为</w:t>
      </w:r>
      <w:r>
        <w:rPr>
          <w:rFonts w:ascii="仿宋_GB2312" w:hAnsi="仿宋_GB2312" w:cs="仿宋_GB2312" w:hint="eastAsia"/>
          <w:szCs w:val="32"/>
        </w:rPr>
        <w:t>2200</w:t>
      </w:r>
      <w:r>
        <w:rPr>
          <w:rFonts w:ascii="仿宋_GB2312" w:hAnsi="仿宋_GB2312" w:cs="仿宋_GB2312" w:hint="eastAsia"/>
          <w:szCs w:val="32"/>
        </w:rPr>
        <w:t>元</w:t>
      </w:r>
      <w:r>
        <w:rPr>
          <w:rFonts w:ascii="仿宋_GB2312" w:hAnsi="仿宋_GB2312" w:cs="仿宋_GB2312" w:hint="eastAsia"/>
          <w:szCs w:val="32"/>
        </w:rPr>
        <w:t>/</w:t>
      </w:r>
      <w:r>
        <w:rPr>
          <w:rFonts w:ascii="仿宋_GB2312" w:hAnsi="仿宋_GB2312" w:cs="仿宋_GB2312" w:hint="eastAsia"/>
          <w:szCs w:val="32"/>
        </w:rPr>
        <w:t>月</w:t>
      </w:r>
      <w:r>
        <w:rPr>
          <w:rFonts w:ascii="仿宋_GB2312" w:hAnsi="仿宋_GB2312" w:cs="仿宋_GB2312" w:hint="eastAsia"/>
          <w:szCs w:val="32"/>
        </w:rPr>
        <w:t>/</w:t>
      </w:r>
      <w:r>
        <w:rPr>
          <w:rFonts w:ascii="仿宋_GB2312" w:hAnsi="仿宋_GB2312" w:cs="仿宋_GB2312" w:hint="eastAsia"/>
          <w:szCs w:val="32"/>
        </w:rPr>
        <w:t>人。工人工资按月足额发放，无拖欠工人工资情况发生。</w:t>
      </w:r>
    </w:p>
    <w:p w:rsidR="009547BD" w:rsidRDefault="00990A4F">
      <w:pPr>
        <w:spacing w:line="560" w:lineRule="exact"/>
        <w:ind w:firstLine="640"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二、项目单位绩效报告情况</w:t>
      </w:r>
    </w:p>
    <w:p w:rsidR="009547BD" w:rsidRDefault="00990A4F">
      <w:pPr>
        <w:spacing w:line="560" w:lineRule="exact"/>
        <w:ind w:firstLine="64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2018</w:t>
      </w:r>
      <w:r>
        <w:rPr>
          <w:rFonts w:ascii="仿宋_GB2312" w:hAnsi="仿宋_GB2312" w:cs="仿宋_GB2312" w:hint="eastAsia"/>
          <w:szCs w:val="32"/>
        </w:rPr>
        <w:t>年</w:t>
      </w:r>
      <w:r>
        <w:rPr>
          <w:rFonts w:ascii="仿宋_GB2312" w:hAnsi="仿宋_GB2312" w:cs="仿宋_GB2312" w:hint="eastAsia"/>
          <w:szCs w:val="32"/>
        </w:rPr>
        <w:t>支付呈贡区教育局农村义务营养改善计划营养师及临时监管员工资</w:t>
      </w:r>
      <w:r>
        <w:rPr>
          <w:rFonts w:ascii="仿宋_GB2312" w:hAnsi="仿宋_GB2312" w:cs="仿宋_GB2312" w:hint="eastAsia"/>
          <w:szCs w:val="32"/>
        </w:rPr>
        <w:t>30400.00</w:t>
      </w:r>
      <w:r>
        <w:rPr>
          <w:rFonts w:ascii="仿宋_GB2312" w:hAnsi="仿宋_GB2312" w:cs="仿宋_GB2312" w:hint="eastAsia"/>
          <w:szCs w:val="32"/>
        </w:rPr>
        <w:t>元</w:t>
      </w:r>
      <w:r>
        <w:rPr>
          <w:rFonts w:ascii="仿宋_GB2312" w:hAnsi="仿宋_GB2312" w:cs="仿宋_GB2312" w:hint="eastAsia"/>
          <w:szCs w:val="32"/>
        </w:rPr>
        <w:t>，</w:t>
      </w:r>
      <w:r>
        <w:rPr>
          <w:rFonts w:ascii="仿宋_GB2312" w:hAnsi="仿宋_GB2312" w:cs="仿宋_GB2312" w:hint="eastAsia"/>
          <w:szCs w:val="32"/>
        </w:rPr>
        <w:t>资金及时、足额到位。</w:t>
      </w:r>
    </w:p>
    <w:p w:rsidR="009547BD" w:rsidRDefault="00990A4F">
      <w:pPr>
        <w:spacing w:line="560" w:lineRule="exact"/>
        <w:ind w:firstLineChars="200" w:firstLine="643"/>
        <w:rPr>
          <w:rFonts w:ascii="黑体" w:eastAsia="黑体" w:hAnsi="黑体" w:cs="黑体"/>
          <w:b/>
          <w:szCs w:val="32"/>
        </w:rPr>
      </w:pPr>
      <w:r>
        <w:rPr>
          <w:rFonts w:ascii="黑体" w:eastAsia="黑体" w:hAnsi="黑体" w:cs="黑体" w:hint="eastAsia"/>
          <w:b/>
          <w:szCs w:val="32"/>
        </w:rPr>
        <w:t>三、绩效评价工作情况</w:t>
      </w:r>
    </w:p>
    <w:p w:rsidR="009547BD" w:rsidRDefault="00990A4F">
      <w:pPr>
        <w:spacing w:line="560" w:lineRule="exact"/>
        <w:ind w:firstLine="64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资金使用严格按照《呈贡区义务教育阶段学生食堂工作人员岗位管理办法</w:t>
      </w:r>
      <w:r>
        <w:rPr>
          <w:rFonts w:ascii="仿宋_GB2312" w:hAnsi="仿宋_GB2312" w:cs="仿宋_GB2312" w:hint="eastAsia"/>
          <w:szCs w:val="32"/>
        </w:rPr>
        <w:t>(</w:t>
      </w:r>
      <w:r>
        <w:rPr>
          <w:rFonts w:ascii="仿宋_GB2312" w:hAnsi="仿宋_GB2312" w:cs="仿宋_GB2312" w:hint="eastAsia"/>
          <w:szCs w:val="32"/>
        </w:rPr>
        <w:t>试行</w:t>
      </w:r>
      <w:r>
        <w:rPr>
          <w:rFonts w:ascii="仿宋_GB2312" w:hAnsi="仿宋_GB2312" w:cs="仿宋_GB2312" w:hint="eastAsia"/>
          <w:szCs w:val="32"/>
        </w:rPr>
        <w:t>)</w:t>
      </w:r>
      <w:r>
        <w:rPr>
          <w:rFonts w:ascii="仿宋_GB2312" w:hAnsi="仿宋_GB2312" w:cs="仿宋_GB2312" w:hint="eastAsia"/>
          <w:szCs w:val="32"/>
        </w:rPr>
        <w:t>》（呈教通〔</w:t>
      </w:r>
      <w:r>
        <w:rPr>
          <w:rFonts w:ascii="仿宋_GB2312" w:hAnsi="仿宋_GB2312" w:cs="仿宋_GB2312" w:hint="eastAsia"/>
          <w:szCs w:val="32"/>
        </w:rPr>
        <w:t>2014</w:t>
      </w:r>
      <w:r>
        <w:rPr>
          <w:rFonts w:ascii="仿宋_GB2312" w:hAnsi="仿宋_GB2312" w:cs="仿宋_GB2312" w:hint="eastAsia"/>
          <w:szCs w:val="32"/>
        </w:rPr>
        <w:t>〕</w:t>
      </w:r>
      <w:r>
        <w:rPr>
          <w:rFonts w:ascii="仿宋_GB2312" w:hAnsi="仿宋_GB2312" w:cs="仿宋_GB2312" w:hint="eastAsia"/>
          <w:szCs w:val="32"/>
        </w:rPr>
        <w:t>84</w:t>
      </w:r>
      <w:r>
        <w:rPr>
          <w:rFonts w:ascii="仿宋_GB2312" w:hAnsi="仿宋_GB2312" w:cs="仿宋_GB2312" w:hint="eastAsia"/>
          <w:szCs w:val="32"/>
        </w:rPr>
        <w:t>号）相关规定核定临时监管人员数量及工资，按时、足额支付临时监管人员工资，未出现拖欠工资的情况。</w:t>
      </w:r>
    </w:p>
    <w:p w:rsidR="009547BD" w:rsidRDefault="00990A4F">
      <w:pPr>
        <w:spacing w:line="560" w:lineRule="exact"/>
        <w:ind w:firstLineChars="200" w:firstLine="643"/>
        <w:rPr>
          <w:rFonts w:ascii="黑体" w:eastAsia="黑体" w:hAnsi="黑体" w:cs="黑体"/>
          <w:b/>
          <w:szCs w:val="32"/>
        </w:rPr>
      </w:pPr>
      <w:r>
        <w:rPr>
          <w:rFonts w:ascii="黑体" w:eastAsia="黑体" w:hAnsi="黑体" w:cs="黑体" w:hint="eastAsia"/>
          <w:b/>
          <w:szCs w:val="32"/>
        </w:rPr>
        <w:t>四、绩效评价指标分析情况</w:t>
      </w:r>
    </w:p>
    <w:p w:rsidR="009547BD" w:rsidRDefault="00990A4F">
      <w:pPr>
        <w:spacing w:line="560" w:lineRule="exact"/>
        <w:ind w:firstLineChars="200" w:firstLine="640"/>
        <w:jc w:val="left"/>
        <w:rPr>
          <w:rFonts w:ascii="仿宋_GB2312" w:hAnsi="仿宋_GB2312" w:cs="仿宋_GB2312"/>
          <w:color w:val="000000"/>
          <w:szCs w:val="32"/>
          <w:lang w:val="zh-CN"/>
        </w:rPr>
      </w:pPr>
      <w:r>
        <w:rPr>
          <w:rFonts w:ascii="仿宋_GB2312" w:hAnsi="仿宋_GB2312" w:cs="仿宋_GB2312" w:hint="eastAsia"/>
          <w:szCs w:val="32"/>
          <w:lang w:val="zh-CN"/>
        </w:rPr>
        <w:t>严格按照《</w:t>
      </w:r>
      <w:r>
        <w:rPr>
          <w:rFonts w:ascii="仿宋_GB2312" w:hAnsi="仿宋_GB2312" w:cs="仿宋_GB2312" w:hint="eastAsia"/>
          <w:szCs w:val="32"/>
        </w:rPr>
        <w:t>呈贡区义务教育阶段学生食堂工作人员岗位管理办法</w:t>
      </w:r>
      <w:r>
        <w:rPr>
          <w:rFonts w:ascii="仿宋_GB2312" w:hAnsi="仿宋_GB2312" w:cs="仿宋_GB2312" w:hint="eastAsia"/>
          <w:szCs w:val="32"/>
        </w:rPr>
        <w:t>(</w:t>
      </w:r>
      <w:r>
        <w:rPr>
          <w:rFonts w:ascii="仿宋_GB2312" w:hAnsi="仿宋_GB2312" w:cs="仿宋_GB2312" w:hint="eastAsia"/>
          <w:szCs w:val="32"/>
        </w:rPr>
        <w:t>试行</w:t>
      </w:r>
      <w:r>
        <w:rPr>
          <w:rFonts w:ascii="仿宋_GB2312" w:hAnsi="仿宋_GB2312" w:cs="仿宋_GB2312" w:hint="eastAsia"/>
          <w:szCs w:val="32"/>
        </w:rPr>
        <w:t>)</w:t>
      </w:r>
      <w:r>
        <w:rPr>
          <w:rFonts w:ascii="仿宋_GB2312" w:hAnsi="仿宋_GB2312" w:cs="仿宋_GB2312" w:hint="eastAsia"/>
          <w:szCs w:val="32"/>
        </w:rPr>
        <w:t>》（呈教通〔</w:t>
      </w:r>
      <w:r>
        <w:rPr>
          <w:rFonts w:ascii="仿宋_GB2312" w:hAnsi="仿宋_GB2312" w:cs="仿宋_GB2312" w:hint="eastAsia"/>
          <w:szCs w:val="32"/>
        </w:rPr>
        <w:t>2014</w:t>
      </w:r>
      <w:r>
        <w:rPr>
          <w:rFonts w:ascii="仿宋_GB2312" w:hAnsi="仿宋_GB2312" w:cs="仿宋_GB2312" w:hint="eastAsia"/>
          <w:szCs w:val="32"/>
        </w:rPr>
        <w:t>〕</w:t>
      </w:r>
      <w:r>
        <w:rPr>
          <w:rFonts w:ascii="仿宋_GB2312" w:hAnsi="仿宋_GB2312" w:cs="仿宋_GB2312" w:hint="eastAsia"/>
          <w:szCs w:val="32"/>
        </w:rPr>
        <w:t>84</w:t>
      </w:r>
      <w:r>
        <w:rPr>
          <w:rFonts w:ascii="仿宋_GB2312" w:hAnsi="仿宋_GB2312" w:cs="仿宋_GB2312" w:hint="eastAsia"/>
          <w:szCs w:val="32"/>
        </w:rPr>
        <w:t>号）</w:t>
      </w:r>
      <w:r>
        <w:rPr>
          <w:rFonts w:ascii="仿宋_GB2312" w:hAnsi="仿宋_GB2312" w:cs="仿宋_GB2312" w:hint="eastAsia"/>
          <w:szCs w:val="32"/>
          <w:lang w:val="zh-CN"/>
        </w:rPr>
        <w:t>相关规定核定</w:t>
      </w:r>
      <w:r>
        <w:rPr>
          <w:rFonts w:ascii="仿宋_GB2312" w:hAnsi="仿宋_GB2312" w:cs="仿宋_GB2312" w:hint="eastAsia"/>
          <w:szCs w:val="32"/>
        </w:rPr>
        <w:t>临时监管人员</w:t>
      </w:r>
      <w:r>
        <w:rPr>
          <w:rFonts w:ascii="仿宋_GB2312" w:hAnsi="仿宋_GB2312" w:cs="仿宋_GB2312" w:hint="eastAsia"/>
          <w:szCs w:val="32"/>
          <w:lang w:val="zh-CN"/>
        </w:rPr>
        <w:t>数量及工作人工资，</w:t>
      </w:r>
      <w:r>
        <w:rPr>
          <w:rFonts w:ascii="仿宋_GB2312" w:hAnsi="仿宋_GB2312" w:cs="仿宋_GB2312" w:hint="eastAsia"/>
          <w:color w:val="000000"/>
          <w:szCs w:val="32"/>
          <w:lang w:val="zh-CN"/>
        </w:rPr>
        <w:t>按时、足额支付</w:t>
      </w:r>
      <w:r>
        <w:rPr>
          <w:rFonts w:ascii="仿宋_GB2312" w:hAnsi="仿宋_GB2312" w:cs="仿宋_GB2312" w:hint="eastAsia"/>
          <w:szCs w:val="32"/>
        </w:rPr>
        <w:t>临时监管人员</w:t>
      </w:r>
      <w:r>
        <w:rPr>
          <w:rFonts w:ascii="仿宋_GB2312" w:hAnsi="仿宋_GB2312" w:cs="仿宋_GB2312" w:hint="eastAsia"/>
          <w:color w:val="000000"/>
          <w:szCs w:val="32"/>
          <w:lang w:val="zh-CN"/>
        </w:rPr>
        <w:t>工资，未出现拖欠工资的情况。</w:t>
      </w:r>
    </w:p>
    <w:p w:rsidR="009547BD" w:rsidRDefault="00990A4F">
      <w:pPr>
        <w:spacing w:line="560" w:lineRule="exact"/>
        <w:ind w:firstLineChars="200" w:firstLine="643"/>
        <w:rPr>
          <w:rFonts w:ascii="黑体" w:eastAsia="黑体" w:hAnsi="黑体" w:cs="黑体"/>
          <w:b/>
          <w:szCs w:val="32"/>
        </w:rPr>
      </w:pPr>
      <w:r>
        <w:rPr>
          <w:rFonts w:ascii="黑体" w:eastAsia="黑体" w:hAnsi="黑体" w:cs="黑体" w:hint="eastAsia"/>
          <w:b/>
          <w:szCs w:val="32"/>
        </w:rPr>
        <w:t>五、综合评价情况及评价结论</w:t>
      </w:r>
    </w:p>
    <w:p w:rsidR="009547BD" w:rsidRDefault="00990A4F">
      <w:pPr>
        <w:spacing w:line="560" w:lineRule="exact"/>
        <w:ind w:firstLineChars="200" w:firstLine="640"/>
        <w:rPr>
          <w:rFonts w:ascii="仿宋_GB2312" w:hAnsi="仿宋_GB2312" w:cs="仿宋_GB2312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按照项目绩效评价指标体系严格打分，此项目评分为</w:t>
      </w:r>
      <w:r>
        <w:rPr>
          <w:rFonts w:ascii="仿宋_GB2312" w:hAnsi="仿宋_GB2312" w:cs="仿宋_GB2312" w:hint="eastAsia"/>
          <w:kern w:val="0"/>
          <w:szCs w:val="32"/>
        </w:rPr>
        <w:t>100</w:t>
      </w:r>
      <w:r>
        <w:rPr>
          <w:rFonts w:ascii="仿宋_GB2312" w:hAnsi="仿宋_GB2312" w:cs="仿宋_GB2312" w:hint="eastAsia"/>
          <w:kern w:val="0"/>
          <w:szCs w:val="32"/>
        </w:rPr>
        <w:t>分，评价等级为优。</w:t>
      </w:r>
    </w:p>
    <w:p w:rsidR="009547BD" w:rsidRDefault="00990A4F">
      <w:pPr>
        <w:spacing w:line="560" w:lineRule="exact"/>
        <w:ind w:firstLineChars="200" w:firstLine="643"/>
        <w:rPr>
          <w:rFonts w:ascii="黑体" w:eastAsia="黑体" w:hAnsi="黑体" w:cs="黑体"/>
          <w:b/>
          <w:szCs w:val="32"/>
        </w:rPr>
      </w:pPr>
      <w:r>
        <w:rPr>
          <w:rFonts w:ascii="黑体" w:eastAsia="黑体" w:hAnsi="黑体" w:cs="黑体" w:hint="eastAsia"/>
          <w:b/>
          <w:szCs w:val="32"/>
        </w:rPr>
        <w:lastRenderedPageBreak/>
        <w:t>六、绩效评价结果应用建议</w:t>
      </w:r>
    </w:p>
    <w:p w:rsidR="009547BD" w:rsidRDefault="00990A4F">
      <w:pPr>
        <w:spacing w:line="560" w:lineRule="exact"/>
        <w:ind w:firstLineChars="200" w:firstLine="640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该项目资金年初预算批复下达时，已按相关规定在网上进行了预算公开，接受社会监督。</w:t>
      </w:r>
    </w:p>
    <w:p w:rsidR="009547BD" w:rsidRDefault="00990A4F">
      <w:pPr>
        <w:topLinePunct/>
        <w:spacing w:line="560" w:lineRule="exact"/>
        <w:ind w:firstLineChars="200" w:firstLine="643"/>
        <w:rPr>
          <w:rFonts w:ascii="黑体" w:eastAsia="黑体" w:hAnsi="黑体" w:cs="黑体"/>
          <w:b/>
          <w:szCs w:val="32"/>
        </w:rPr>
      </w:pPr>
      <w:r>
        <w:rPr>
          <w:rFonts w:ascii="黑体" w:eastAsia="黑体" w:hAnsi="黑体" w:cs="黑体" w:hint="eastAsia"/>
          <w:b/>
          <w:szCs w:val="32"/>
        </w:rPr>
        <w:t>七、主要经验及做法、存在的问题和建议</w:t>
      </w:r>
    </w:p>
    <w:p w:rsidR="009547BD" w:rsidRDefault="00990A4F">
      <w:pPr>
        <w:spacing w:line="560" w:lineRule="exact"/>
        <w:ind w:firstLineChars="200" w:firstLine="640"/>
        <w:jc w:val="left"/>
        <w:rPr>
          <w:rFonts w:ascii="仿宋_GB2312" w:hAnsi="仿宋_GB2312" w:cs="仿宋_GB2312"/>
          <w:szCs w:val="32"/>
          <w:lang w:val="zh-CN"/>
        </w:rPr>
      </w:pPr>
      <w:r>
        <w:rPr>
          <w:rFonts w:ascii="仿宋_GB2312" w:hAnsi="仿宋_GB2312" w:cs="仿宋_GB2312" w:hint="eastAsia"/>
          <w:color w:val="000000"/>
          <w:szCs w:val="32"/>
          <w:lang w:val="zh-CN"/>
        </w:rPr>
        <w:t>能够及时拨付各项资金，</w:t>
      </w:r>
      <w:r>
        <w:rPr>
          <w:rFonts w:ascii="仿宋_GB2312" w:hAnsi="仿宋_GB2312" w:cs="仿宋_GB2312" w:hint="eastAsia"/>
          <w:szCs w:val="32"/>
          <w:lang w:val="zh-CN"/>
        </w:rPr>
        <w:t>在资金使用上能够按照规章制度进行，无截留、挪用、克扣等现象发生。</w:t>
      </w:r>
      <w:r>
        <w:rPr>
          <w:rFonts w:ascii="仿宋_GB2312" w:hAnsi="仿宋_GB2312" w:cs="仿宋_GB2312" w:hint="eastAsia"/>
          <w:color w:val="000000"/>
          <w:szCs w:val="32"/>
          <w:lang w:val="zh-CN"/>
        </w:rPr>
        <w:t>分配和使用方向与资金管理办法相符，无存在问题。</w:t>
      </w:r>
    </w:p>
    <w:p w:rsidR="009547BD" w:rsidRDefault="00990A4F">
      <w:pPr>
        <w:spacing w:line="560" w:lineRule="exact"/>
        <w:ind w:firstLineChars="200" w:firstLine="643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b/>
          <w:szCs w:val="32"/>
        </w:rPr>
        <w:t>八、其他需说明的问题</w:t>
      </w:r>
    </w:p>
    <w:p w:rsidR="009547BD" w:rsidRDefault="00990A4F">
      <w:pPr>
        <w:spacing w:line="560" w:lineRule="exact"/>
        <w:ind w:firstLineChars="200" w:firstLine="64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午餐管理经费及学生食堂工作人员工资</w:t>
      </w:r>
      <w:r>
        <w:rPr>
          <w:rFonts w:ascii="仿宋_GB2312" w:hAnsi="仿宋_GB2312" w:cs="仿宋_GB2312" w:hint="eastAsia"/>
          <w:szCs w:val="32"/>
        </w:rPr>
        <w:t>项目中农村义务教育学生</w:t>
      </w:r>
      <w:r>
        <w:rPr>
          <w:rFonts w:ascii="仿宋_GB2312" w:hAnsi="仿宋_GB2312" w:cs="仿宋_GB2312" w:hint="eastAsia"/>
          <w:szCs w:val="32"/>
        </w:rPr>
        <w:t>营养改善计划临时监管人员</w:t>
      </w:r>
      <w:r>
        <w:rPr>
          <w:rFonts w:ascii="仿宋_GB2312" w:hAnsi="仿宋_GB2312" w:cs="仿宋_GB2312" w:hint="eastAsia"/>
          <w:szCs w:val="32"/>
        </w:rPr>
        <w:t>工资自</w:t>
      </w:r>
      <w:r>
        <w:rPr>
          <w:rFonts w:ascii="仿宋_GB2312" w:hAnsi="仿宋_GB2312" w:cs="仿宋_GB2312" w:hint="eastAsia"/>
          <w:szCs w:val="32"/>
        </w:rPr>
        <w:t>2018</w:t>
      </w:r>
      <w:r>
        <w:rPr>
          <w:rFonts w:ascii="仿宋_GB2312" w:hAnsi="仿宋_GB2312" w:cs="仿宋_GB2312" w:hint="eastAsia"/>
          <w:szCs w:val="32"/>
        </w:rPr>
        <w:t>年</w:t>
      </w:r>
      <w:r>
        <w:rPr>
          <w:rFonts w:ascii="仿宋_GB2312" w:hAnsi="仿宋_GB2312" w:cs="仿宋_GB2312" w:hint="eastAsia"/>
          <w:szCs w:val="32"/>
        </w:rPr>
        <w:t>9</w:t>
      </w:r>
      <w:r>
        <w:rPr>
          <w:rFonts w:ascii="仿宋_GB2312" w:hAnsi="仿宋_GB2312" w:cs="仿宋_GB2312" w:hint="eastAsia"/>
          <w:szCs w:val="32"/>
        </w:rPr>
        <w:t>月起不再从</w:t>
      </w:r>
      <w:r>
        <w:rPr>
          <w:rFonts w:ascii="仿宋_GB2312" w:hAnsi="仿宋_GB2312" w:cs="仿宋_GB2312" w:hint="eastAsia"/>
          <w:szCs w:val="32"/>
        </w:rPr>
        <w:t>午餐管理经费及学生食堂工作人员工资</w:t>
      </w:r>
      <w:r>
        <w:rPr>
          <w:rFonts w:ascii="仿宋_GB2312" w:hAnsi="仿宋_GB2312" w:cs="仿宋_GB2312" w:hint="eastAsia"/>
          <w:szCs w:val="32"/>
        </w:rPr>
        <w:t>中支出</w:t>
      </w:r>
      <w:r>
        <w:rPr>
          <w:rFonts w:ascii="仿宋_GB2312" w:hAnsi="仿宋_GB2312" w:cs="仿宋_GB2312" w:hint="eastAsia"/>
          <w:szCs w:val="32"/>
        </w:rPr>
        <w:t>。</w:t>
      </w:r>
    </w:p>
    <w:p w:rsidR="009547BD" w:rsidRDefault="009547BD">
      <w:pPr>
        <w:spacing w:line="560" w:lineRule="exact"/>
        <w:ind w:firstLineChars="200" w:firstLine="640"/>
        <w:jc w:val="right"/>
        <w:rPr>
          <w:rFonts w:ascii="仿宋GB2313" w:eastAsia="仿宋GB2313" w:hAnsi="仿宋"/>
          <w:color w:val="000000"/>
          <w:szCs w:val="32"/>
        </w:rPr>
      </w:pPr>
    </w:p>
    <w:p w:rsidR="009547BD" w:rsidRDefault="009547BD">
      <w:pPr>
        <w:spacing w:line="560" w:lineRule="exact"/>
        <w:ind w:firstLineChars="200" w:firstLine="640"/>
        <w:jc w:val="right"/>
        <w:rPr>
          <w:rFonts w:ascii="仿宋GB2313" w:eastAsia="仿宋GB2313" w:hAnsi="仿宋"/>
          <w:color w:val="000000"/>
          <w:szCs w:val="32"/>
        </w:rPr>
      </w:pPr>
    </w:p>
    <w:p w:rsidR="009547BD" w:rsidRPr="008C2540" w:rsidRDefault="00990A4F">
      <w:pPr>
        <w:spacing w:line="560" w:lineRule="exact"/>
        <w:ind w:firstLineChars="200" w:firstLine="640"/>
        <w:jc w:val="right"/>
        <w:rPr>
          <w:rFonts w:ascii="仿宋_GB2312" w:hAnsi="仿宋_GB2312" w:cs="仿宋_GB2312"/>
          <w:szCs w:val="32"/>
        </w:rPr>
      </w:pPr>
      <w:r w:rsidRPr="008C2540">
        <w:rPr>
          <w:rFonts w:ascii="仿宋_GB2312" w:hAnsi="仿宋_GB2312" w:cs="仿宋_GB2312" w:hint="eastAsia"/>
          <w:szCs w:val="32"/>
        </w:rPr>
        <w:t>昆明市呈贡区教育</w:t>
      </w:r>
      <w:r w:rsidRPr="008C2540">
        <w:rPr>
          <w:rFonts w:ascii="仿宋_GB2312" w:hAnsi="仿宋_GB2312" w:cs="仿宋_GB2312" w:hint="eastAsia"/>
          <w:szCs w:val="32"/>
        </w:rPr>
        <w:t>教育体育</w:t>
      </w:r>
      <w:r w:rsidRPr="008C2540">
        <w:rPr>
          <w:rFonts w:ascii="仿宋_GB2312" w:hAnsi="仿宋_GB2312" w:cs="仿宋_GB2312" w:hint="eastAsia"/>
          <w:szCs w:val="32"/>
        </w:rPr>
        <w:t>局</w:t>
      </w:r>
    </w:p>
    <w:p w:rsidR="009547BD" w:rsidRPr="008C2540" w:rsidRDefault="00244419">
      <w:pPr>
        <w:spacing w:line="560" w:lineRule="exact"/>
        <w:ind w:firstLineChars="200" w:firstLine="640"/>
        <w:jc w:val="center"/>
        <w:rPr>
          <w:rFonts w:ascii="仿宋_GB2312" w:hAnsi="仿宋_GB2312" w:cs="仿宋_GB2312"/>
          <w:szCs w:val="32"/>
        </w:rPr>
      </w:pPr>
      <w:r w:rsidRPr="008C2540">
        <w:rPr>
          <w:rFonts w:ascii="仿宋_GB2312" w:hAnsi="仿宋_GB2312" w:cs="仿宋_GB2312" w:hint="eastAsia"/>
          <w:szCs w:val="32"/>
        </w:rPr>
        <w:t xml:space="preserve">                           </w:t>
      </w:r>
      <w:r w:rsidR="00990A4F" w:rsidRPr="008C2540">
        <w:rPr>
          <w:rFonts w:ascii="仿宋_GB2312" w:hAnsi="仿宋_GB2312" w:cs="仿宋_GB2312" w:hint="eastAsia"/>
          <w:szCs w:val="32"/>
        </w:rPr>
        <w:t>201</w:t>
      </w:r>
      <w:r w:rsidR="00990A4F" w:rsidRPr="008C2540">
        <w:rPr>
          <w:rFonts w:ascii="仿宋_GB2312" w:hAnsi="仿宋_GB2312" w:cs="仿宋_GB2312" w:hint="eastAsia"/>
          <w:szCs w:val="32"/>
        </w:rPr>
        <w:t>9</w:t>
      </w:r>
      <w:r w:rsidR="00990A4F" w:rsidRPr="008C2540">
        <w:rPr>
          <w:rFonts w:ascii="仿宋_GB2312" w:hAnsi="仿宋_GB2312" w:cs="仿宋_GB2312" w:hint="eastAsia"/>
          <w:szCs w:val="32"/>
        </w:rPr>
        <w:t>年</w:t>
      </w:r>
      <w:r w:rsidR="00990A4F" w:rsidRPr="008C2540">
        <w:rPr>
          <w:rFonts w:ascii="仿宋_GB2312" w:hAnsi="仿宋_GB2312" w:cs="仿宋_GB2312" w:hint="eastAsia"/>
          <w:szCs w:val="32"/>
        </w:rPr>
        <w:t>3</w:t>
      </w:r>
      <w:r w:rsidR="00990A4F" w:rsidRPr="008C2540">
        <w:rPr>
          <w:rFonts w:ascii="仿宋_GB2312" w:hAnsi="仿宋_GB2312" w:cs="仿宋_GB2312" w:hint="eastAsia"/>
          <w:szCs w:val="32"/>
        </w:rPr>
        <w:t>月</w:t>
      </w:r>
      <w:r w:rsidR="00990A4F" w:rsidRPr="008C2540">
        <w:rPr>
          <w:rFonts w:ascii="仿宋_GB2312" w:hAnsi="仿宋_GB2312" w:cs="仿宋_GB2312" w:hint="eastAsia"/>
          <w:szCs w:val="32"/>
        </w:rPr>
        <w:t>25</w:t>
      </w:r>
      <w:r w:rsidR="00990A4F" w:rsidRPr="008C2540">
        <w:rPr>
          <w:rFonts w:ascii="仿宋_GB2312" w:hAnsi="仿宋_GB2312" w:cs="仿宋_GB2312" w:hint="eastAsia"/>
          <w:szCs w:val="32"/>
        </w:rPr>
        <w:t>日</w:t>
      </w:r>
    </w:p>
    <w:p w:rsidR="009547BD" w:rsidRPr="008C2540" w:rsidRDefault="009547BD">
      <w:pPr>
        <w:spacing w:line="560" w:lineRule="exact"/>
        <w:ind w:firstLine="880"/>
        <w:jc w:val="center"/>
        <w:rPr>
          <w:rFonts w:ascii="仿宋_GB2312" w:hAnsi="仿宋_GB2312" w:cs="仿宋_GB2312"/>
          <w:szCs w:val="32"/>
        </w:rPr>
      </w:pPr>
    </w:p>
    <w:p w:rsidR="009547BD" w:rsidRDefault="009547BD">
      <w:pPr>
        <w:spacing w:line="560" w:lineRule="exact"/>
        <w:rPr>
          <w:rFonts w:ascii="仿宋_GB2312"/>
          <w:b/>
          <w:szCs w:val="32"/>
        </w:rPr>
      </w:pPr>
      <w:bookmarkStart w:id="0" w:name="_GoBack"/>
      <w:bookmarkEnd w:id="0"/>
    </w:p>
    <w:sectPr w:rsidR="009547BD" w:rsidSect="009547BD">
      <w:pgSz w:w="11906" w:h="16838"/>
      <w:pgMar w:top="1531" w:right="1531" w:bottom="1227" w:left="1531" w:header="851" w:footer="992" w:gutter="0"/>
      <w:cols w:space="0"/>
      <w:docGrid w:type="lines" w:linePitch="4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A4F" w:rsidRDefault="00990A4F" w:rsidP="00244419">
      <w:r>
        <w:separator/>
      </w:r>
    </w:p>
  </w:endnote>
  <w:endnote w:type="continuationSeparator" w:id="1">
    <w:p w:rsidR="00990A4F" w:rsidRDefault="00990A4F" w:rsidP="00244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GB2313">
    <w:altName w:val="宋体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A4F" w:rsidRDefault="00990A4F" w:rsidP="00244419">
      <w:r>
        <w:separator/>
      </w:r>
    </w:p>
  </w:footnote>
  <w:footnote w:type="continuationSeparator" w:id="1">
    <w:p w:rsidR="00990A4F" w:rsidRDefault="00990A4F" w:rsidP="002444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222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A660B86"/>
    <w:rsid w:val="00244419"/>
    <w:rsid w:val="008C2540"/>
    <w:rsid w:val="009547BD"/>
    <w:rsid w:val="00990A4F"/>
    <w:rsid w:val="036277BC"/>
    <w:rsid w:val="03E56CA4"/>
    <w:rsid w:val="0A660B86"/>
    <w:rsid w:val="1B3F0A10"/>
    <w:rsid w:val="1C3A33F3"/>
    <w:rsid w:val="214E4F1D"/>
    <w:rsid w:val="2B7520E7"/>
    <w:rsid w:val="337D052A"/>
    <w:rsid w:val="33E72FAE"/>
    <w:rsid w:val="4399419C"/>
    <w:rsid w:val="454577CC"/>
    <w:rsid w:val="53BD7972"/>
    <w:rsid w:val="5C80729B"/>
    <w:rsid w:val="6C640982"/>
    <w:rsid w:val="715D636B"/>
    <w:rsid w:val="78656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7BD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44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44419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244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44419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>Microsoft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呈贡何</dc:creator>
  <cp:lastModifiedBy>DELL</cp:lastModifiedBy>
  <cp:revision>3</cp:revision>
  <dcterms:created xsi:type="dcterms:W3CDTF">2019-03-25T01:12:00Z</dcterms:created>
  <dcterms:modified xsi:type="dcterms:W3CDTF">2019-03-25T05:25:00Z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