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2018年呈贡区学校综合食堂运行管理经费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项目支出绩</w:t>
      </w:r>
      <w:r>
        <w:rPr>
          <w:rFonts w:hint="eastAsia" w:ascii="方正小标宋简体" w:hAnsi="方正小标宋简体" w:eastAsia="方正小标宋简体" w:cs="方正小标宋简体"/>
          <w:sz w:val="44"/>
          <w:szCs w:val="44"/>
          <w:lang w:eastAsia="zh-CN"/>
        </w:rPr>
        <w:t>效绩效评价报告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rPr>
      </w:pPr>
      <w:r>
        <w:rPr>
          <w:rFonts w:hint="eastAsia" w:ascii="黑体" w:hAnsi="黑体" w:eastAsia="黑体" w:cs="黑体"/>
          <w:b/>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GB2313" w:hAnsi="仿宋"/>
          <w:sz w:val="32"/>
          <w:szCs w:val="32"/>
        </w:rPr>
      </w:pPr>
      <w:r>
        <w:rPr>
          <w:rFonts w:ascii="仿宋GB2313" w:hAnsi="仿宋GB2313"/>
          <w:sz w:val="32"/>
          <w:szCs w:val="32"/>
        </w:rPr>
        <w:t>为解决斗南学校、实验学校、新区一小、新区二小（龙街校点、众合康园校点）、文笔小学、回回营小学共</w:t>
      </w:r>
      <w:r>
        <w:rPr>
          <w:rFonts w:ascii="仿宋GB2313" w:hAnsi="仿宋"/>
          <w:sz w:val="32"/>
          <w:szCs w:val="32"/>
        </w:rPr>
        <w:t>6所学校8个校点，近7000名师生的中餐用餐问题，</w:t>
      </w:r>
      <w:r>
        <w:rPr>
          <w:rFonts w:ascii="仿宋GB2313" w:hAnsi="仿宋GB2313" w:cs="仿宋_GB2312"/>
          <w:sz w:val="32"/>
          <w:szCs w:val="32"/>
        </w:rPr>
        <w:t>我区于</w:t>
      </w:r>
      <w:r>
        <w:rPr>
          <w:rFonts w:ascii="仿宋GB2313" w:hAnsi="仿宋" w:cs="仿宋_GB2312"/>
          <w:sz w:val="32"/>
          <w:szCs w:val="32"/>
        </w:rPr>
        <w:t>2016年7月筹建了呈贡区学校综合食堂</w:t>
      </w:r>
      <w:r>
        <w:rPr>
          <w:rFonts w:hint="eastAsia" w:ascii="仿宋GB2313" w:hAnsi="仿宋" w:cs="仿宋_GB2312"/>
          <w:sz w:val="32"/>
          <w:szCs w:val="32"/>
        </w:rPr>
        <w:t>，</w:t>
      </w:r>
      <w:r>
        <w:rPr>
          <w:rFonts w:ascii="仿宋GB2313" w:hAnsi="仿宋" w:cs="仿宋_GB2312"/>
          <w:sz w:val="32"/>
          <w:szCs w:val="32"/>
        </w:rPr>
        <w:t>。呈贡区</w:t>
      </w:r>
      <w:r>
        <w:rPr>
          <w:rFonts w:ascii="仿宋GB2313" w:hAnsi="仿宋GB2313"/>
          <w:sz w:val="32"/>
          <w:szCs w:val="32"/>
        </w:rPr>
        <w:t>学校综合食堂运行管理经费主要用于该食堂厂房、设备租赁费，送餐车辆使用费。自</w:t>
      </w:r>
      <w:r>
        <w:rPr>
          <w:rFonts w:ascii="仿宋GB2313" w:hAnsi="仿宋"/>
          <w:sz w:val="32"/>
          <w:szCs w:val="32"/>
        </w:rPr>
        <w:t>2016年9月份开始运行至今，每个学期顺利完成了为呈贡区6所学校</w:t>
      </w:r>
      <w:r>
        <w:rPr>
          <w:rFonts w:hint="eastAsia" w:ascii="仿宋GB2313" w:hAnsi="仿宋"/>
          <w:sz w:val="32"/>
          <w:szCs w:val="32"/>
        </w:rPr>
        <w:t>，</w:t>
      </w:r>
      <w:r>
        <w:rPr>
          <w:rFonts w:hint="eastAsia" w:ascii="仿宋GB2313" w:hAnsi="仿宋" w:cs="仿宋_GB2312"/>
          <w:sz w:val="32"/>
          <w:szCs w:val="32"/>
        </w:rPr>
        <w:t>2018年新增新区四小、古城小学2所学校，</w:t>
      </w:r>
      <w:r>
        <w:rPr>
          <w:rFonts w:ascii="仿宋GB2313" w:hAnsi="仿宋"/>
          <w:sz w:val="32"/>
          <w:szCs w:val="32"/>
        </w:rPr>
        <w:t>7000余名师生供应中餐的任务。通过问卷调查，每学期供餐满意率达到90%左右，受到了师生、家长的好评。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rPr>
      </w:pPr>
      <w:r>
        <w:rPr>
          <w:rFonts w:hint="eastAsia" w:ascii="黑体" w:hAnsi="黑体" w:eastAsia="黑体" w:cs="黑体"/>
          <w:b/>
          <w:szCs w:val="32"/>
          <w:lang w:eastAsia="zh-CN"/>
        </w:rPr>
        <w:t>二、</w:t>
      </w:r>
      <w:r>
        <w:rPr>
          <w:rFonts w:hint="eastAsia" w:ascii="黑体" w:hAnsi="黑体" w:eastAsia="黑体" w:cs="黑体"/>
          <w:b/>
          <w:szCs w:val="32"/>
        </w:rPr>
        <w:t>项目单位绩效报告情况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GB2313" w:hAnsi="仿宋"/>
          <w:sz w:val="32"/>
          <w:szCs w:val="32"/>
        </w:rPr>
      </w:pPr>
      <w:r>
        <w:rPr>
          <w:rFonts w:ascii="仿宋GB2313" w:hAnsi="仿宋"/>
          <w:sz w:val="32"/>
          <w:szCs w:val="32"/>
        </w:rPr>
        <w:t>201</w:t>
      </w:r>
      <w:r>
        <w:rPr>
          <w:rFonts w:hint="eastAsia" w:ascii="仿宋GB2313" w:hAnsi="仿宋"/>
          <w:sz w:val="32"/>
          <w:szCs w:val="32"/>
        </w:rPr>
        <w:t>8</w:t>
      </w:r>
      <w:r>
        <w:rPr>
          <w:rFonts w:ascii="仿宋GB2313" w:hAnsi="仿宋"/>
          <w:sz w:val="32"/>
          <w:szCs w:val="32"/>
        </w:rPr>
        <w:t>年区财政</w:t>
      </w:r>
      <w:r>
        <w:rPr>
          <w:rFonts w:hint="eastAsia" w:ascii="仿宋GB2313" w:hAnsi="仿宋"/>
          <w:sz w:val="32"/>
          <w:szCs w:val="32"/>
        </w:rPr>
        <w:t>拨付</w:t>
      </w:r>
      <w:r>
        <w:rPr>
          <w:rFonts w:ascii="仿宋GB2313" w:hAnsi="仿宋"/>
          <w:sz w:val="32"/>
          <w:szCs w:val="32"/>
        </w:rPr>
        <w:t>呈贡区学校综合食堂运行管理经费</w:t>
      </w:r>
      <w:r>
        <w:rPr>
          <w:rFonts w:hint="eastAsia" w:ascii="仿宋GB2313" w:hAnsi="仿宋"/>
          <w:sz w:val="32"/>
          <w:szCs w:val="32"/>
        </w:rPr>
        <w:t>975000.00元，</w:t>
      </w:r>
      <w:r>
        <w:rPr>
          <w:rFonts w:ascii="仿宋GB2313" w:hAnsi="仿宋"/>
          <w:sz w:val="32"/>
          <w:szCs w:val="32"/>
        </w:rPr>
        <w:t>支出</w:t>
      </w:r>
      <w:r>
        <w:rPr>
          <w:rFonts w:hint="eastAsia" w:ascii="仿宋GB2313" w:hAnsi="仿宋"/>
          <w:sz w:val="32"/>
          <w:szCs w:val="32"/>
        </w:rPr>
        <w:t>975000.00</w:t>
      </w:r>
      <w:r>
        <w:rPr>
          <w:rFonts w:ascii="仿宋GB2313" w:hAnsi="仿宋"/>
          <w:sz w:val="32"/>
          <w:szCs w:val="32"/>
        </w:rPr>
        <w:t>元，</w:t>
      </w:r>
      <w:r>
        <w:rPr>
          <w:rFonts w:hint="eastAsia" w:ascii="仿宋GB2313" w:hAnsi="仿宋"/>
          <w:sz w:val="32"/>
          <w:szCs w:val="32"/>
        </w:rPr>
        <w:t>其中，支付食堂厂房租赁费306720.00元,支付食堂厨房设备及用具租赁费303280.00元，支付送餐车使用费365000.00元。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GB2313" w:hAnsi="仿宋"/>
          <w:sz w:val="32"/>
          <w:szCs w:val="32"/>
        </w:rPr>
      </w:pPr>
      <w:r>
        <w:rPr>
          <w:rFonts w:ascii="仿宋GB2313" w:hAnsi="仿宋GB2313"/>
          <w:sz w:val="32"/>
          <w:szCs w:val="32"/>
        </w:rPr>
        <w:t>资金及时、足额到位。呈贡区学校综合食堂运行管理经费严格按照《昆明市呈贡区教育局关于印发呈贡区学校综合食堂管理方案》的通知（呈教通〔</w:t>
      </w:r>
      <w:r>
        <w:rPr>
          <w:rFonts w:ascii="仿宋GB2313" w:hAnsi="仿宋"/>
          <w:sz w:val="32"/>
          <w:szCs w:val="32"/>
        </w:rPr>
        <w:t>2016〕53号），从组织领导、供餐抬餐管理要求、资金使用规定、监督检查和责任追究等方面规范了呈贡区学校综合食堂管理工作。无挤占、挪用的现象发生。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highlight w:val="none"/>
        </w:rPr>
      </w:pPr>
      <w:r>
        <w:rPr>
          <w:rFonts w:hint="eastAsia" w:ascii="黑体" w:hAnsi="黑体" w:eastAsia="黑体" w:cs="黑体"/>
          <w:b/>
          <w:szCs w:val="32"/>
          <w:highlight w:val="none"/>
        </w:rPr>
        <w:t>三、绩效评价工作情况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GB2313" w:hAnsi="仿宋GB2313"/>
          <w:sz w:val="32"/>
          <w:szCs w:val="32"/>
        </w:rPr>
      </w:pPr>
      <w:r>
        <w:rPr>
          <w:rFonts w:hint="eastAsia" w:ascii="仿宋GB2313" w:hAnsi="仿宋"/>
          <w:sz w:val="32"/>
          <w:szCs w:val="32"/>
        </w:rPr>
        <w:t>按照</w:t>
      </w:r>
      <w:r>
        <w:rPr>
          <w:rFonts w:ascii="仿宋GB2313" w:hAnsi="仿宋"/>
          <w:sz w:val="32"/>
          <w:szCs w:val="32"/>
        </w:rPr>
        <w:t>《呈贡区学校综合食堂管理方案》、《昆明市呈贡区教育局关于做好学校后勤综合食堂管理工作的通知》、《昆明市呈贡区教育局关于呈贡区学校综合食堂管理监督领导小组成员分工负责联系学校的通知》等文件</w:t>
      </w:r>
      <w:r>
        <w:rPr>
          <w:rFonts w:hint="eastAsia" w:ascii="仿宋GB2313" w:hAnsi="仿宋"/>
          <w:sz w:val="32"/>
          <w:szCs w:val="32"/>
        </w:rPr>
        <w:t>要求，区教育局定期或不定期对呈贡区学校综合食堂食品卫生、安全进行检查，</w:t>
      </w:r>
      <w:r>
        <w:rPr>
          <w:rFonts w:ascii="仿宋GB2313" w:hAnsi="仿宋GB2313"/>
          <w:sz w:val="32"/>
          <w:szCs w:val="32"/>
        </w:rPr>
        <w:t>每学期末由区教育局牵头，组成呈贡区学校综合食堂财务收支核实领导小组，对呈贡区学校综合食堂日常运行及财务管理情况进行财务核实检查。</w:t>
      </w:r>
      <w:r>
        <w:rPr>
          <w:rFonts w:hint="eastAsia" w:ascii="仿宋GB2313" w:hAnsi="仿宋GB2313"/>
          <w:sz w:val="32"/>
          <w:szCs w:val="32"/>
        </w:rPr>
        <w:t>呈贡区学校综合食堂圆满完成2018年供餐各项任务，饭菜达到了安全、新鲜、营养、保温的要求。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highlight w:val="none"/>
        </w:rPr>
      </w:pPr>
      <w:r>
        <w:rPr>
          <w:rFonts w:hint="eastAsia" w:ascii="黑体" w:hAnsi="黑体" w:eastAsia="黑体" w:cs="黑体"/>
          <w:b/>
          <w:szCs w:val="32"/>
          <w:highlight w:val="none"/>
        </w:rPr>
        <w:t>四、绩效评价指标分析情况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sz w:val="32"/>
          <w:szCs w:val="32"/>
        </w:rPr>
        <w:t>该项目资金严格按照相关管理制度规定执行，资金使用合规、合法，充分发挥使用效率，无存在问题。今后，会依旧严格执行资金使用制度，规范资金使用用途，积极发挥资金使用的最大效用。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highlight w:val="none"/>
        </w:rPr>
      </w:pPr>
      <w:r>
        <w:rPr>
          <w:rFonts w:hint="eastAsia" w:ascii="黑体" w:hAnsi="黑体" w:eastAsia="黑体" w:cs="黑体"/>
          <w:b/>
          <w:szCs w:val="32"/>
          <w:highlight w:val="none"/>
          <w:lang w:eastAsia="zh-CN"/>
        </w:rPr>
        <w:t>五、</w:t>
      </w:r>
      <w:r>
        <w:rPr>
          <w:rFonts w:hint="eastAsia" w:ascii="黑体" w:hAnsi="黑体" w:eastAsia="黑体" w:cs="黑体"/>
          <w:b/>
          <w:szCs w:val="32"/>
          <w:highlight w:val="none"/>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b/>
          <w:szCs w:val="32"/>
        </w:rPr>
      </w:pPr>
      <w:r>
        <w:rPr>
          <w:rFonts w:hint="eastAsia" w:ascii="仿宋_GB2312"/>
          <w:bCs/>
          <w:szCs w:val="32"/>
          <w:lang w:val="en-US" w:eastAsia="zh-CN"/>
        </w:rPr>
        <w:t>按照项目绩效评价指标体系严格打分，此项目评分为100分，评价等级为优</w:t>
      </w:r>
      <w:r>
        <w:rPr>
          <w:rFonts w:hint="eastAsia" w:ascii="仿宋_GB2312"/>
          <w:bCs/>
          <w:szCs w:val="32"/>
        </w:rPr>
        <w:t>（</w:t>
      </w:r>
      <w:r>
        <w:rPr>
          <w:rFonts w:hint="eastAsia" w:ascii="仿宋_GB2312"/>
          <w:bCs/>
          <w:szCs w:val="32"/>
          <w:lang w:val="en-US" w:eastAsia="zh-CN"/>
        </w:rPr>
        <w:t>后</w:t>
      </w:r>
      <w:r>
        <w:rPr>
          <w:rFonts w:hint="eastAsia" w:ascii="仿宋_GB2312"/>
          <w:bCs/>
          <w:szCs w:val="32"/>
        </w:rPr>
        <w:t>附相关评分表）</w:t>
      </w:r>
      <w:r>
        <w:rPr>
          <w:rFonts w:hint="eastAsia" w:ascii="仿宋_GB2312"/>
          <w:b/>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highlight w:val="none"/>
          <w:lang w:eastAsia="zh-CN"/>
        </w:rPr>
      </w:pPr>
      <w:r>
        <w:rPr>
          <w:rFonts w:hint="eastAsia" w:ascii="黑体" w:hAnsi="黑体" w:eastAsia="黑体" w:cs="黑体"/>
          <w:b/>
          <w:szCs w:val="32"/>
          <w:highlight w:val="none"/>
          <w:lang w:eastAsia="zh-CN"/>
        </w:rPr>
        <w:t>六、绩效评价结果应用建议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eastAsia="仿宋_GB2312"/>
          <w:b w:val="0"/>
          <w:bCs/>
          <w:szCs w:val="32"/>
          <w:lang w:val="en-US" w:eastAsia="zh-CN"/>
        </w:rPr>
      </w:pPr>
      <w:r>
        <w:rPr>
          <w:rFonts w:hint="eastAsia" w:ascii="仿宋_GB2312"/>
          <w:b w:val="0"/>
          <w:bCs/>
          <w:szCs w:val="32"/>
          <w:lang w:val="en-US" w:eastAsia="zh-CN"/>
        </w:rPr>
        <w:t>该项目资金年初预算批复下达时，已按相关规定在网上进行了预算公开，接受社会监督，2019年度将继续预算该项经费。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highlight w:val="none"/>
          <w:lang w:eastAsia="zh-CN"/>
        </w:rPr>
      </w:pPr>
      <w:r>
        <w:rPr>
          <w:rFonts w:hint="eastAsia" w:ascii="黑体" w:hAnsi="黑体" w:eastAsia="黑体" w:cs="黑体"/>
          <w:b/>
          <w:szCs w:val="32"/>
          <w:highlight w:val="none"/>
          <w:lang w:eastAsia="zh-CN"/>
        </w:rPr>
        <w:t>七、主要经验及做法、存在的问题和建议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b/>
          <w:szCs w:val="32"/>
        </w:rPr>
      </w:pPr>
      <w:r>
        <w:rPr>
          <w:rFonts w:hint="eastAsia"/>
          <w:lang w:eastAsia="zh-CN"/>
        </w:rPr>
        <w:t>呈贡区学校综合食堂运行管理经费</w:t>
      </w:r>
      <w:r>
        <w:rPr>
          <w:rFonts w:hint="eastAsia" w:ascii="仿宋_GB2312" w:hAnsi="仿宋" w:eastAsia="仿宋_GB2312"/>
          <w:sz w:val="32"/>
          <w:szCs w:val="32"/>
        </w:rPr>
        <w:t>严格按照资金管理和使用办法、资金使用合理，无结余资金，无滞留、闲置、挪用等现象，充分发挥专项资金的使用效率，没有其他问题。今后，会依旧严格执行资金使用制度，规范资金使用用途，积极发挥资金使用的最大效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Cs w:val="32"/>
          <w:highlight w:val="none"/>
          <w:lang w:eastAsia="zh-CN"/>
        </w:rPr>
      </w:pPr>
      <w:r>
        <w:rPr>
          <w:rFonts w:hint="eastAsia" w:ascii="黑体" w:hAnsi="黑体" w:eastAsia="黑体" w:cs="黑体"/>
          <w:b/>
          <w:szCs w:val="32"/>
          <w:highlight w:val="none"/>
          <w:lang w:eastAsia="zh-CN"/>
        </w:rPr>
        <w:t>八、其他需说明的问题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lang w:eastAsia="zh-CN"/>
        </w:rPr>
        <w:t>呈贡区学校综合食堂运行管理经费</w:t>
      </w:r>
      <w:r>
        <w:rPr>
          <w:rFonts w:hint="eastAsia" w:ascii="仿宋_GB2312" w:hAnsi="仿宋" w:eastAsia="仿宋_GB2312"/>
          <w:sz w:val="32"/>
          <w:szCs w:val="32"/>
        </w:rPr>
        <w:t>严格按照资金管理和使用办法、资金使用合理，无结余资金，无滞留、闲置、挪用等现象，充分发挥专项资金的使用效率，</w:t>
      </w:r>
      <w:r>
        <w:rPr>
          <w:rFonts w:hint="eastAsia" w:ascii="仿宋_GB2312" w:hAnsi="仿宋"/>
          <w:sz w:val="32"/>
          <w:szCs w:val="32"/>
          <w:lang w:eastAsia="zh-CN"/>
        </w:rPr>
        <w:t>无其它需说明的</w:t>
      </w:r>
      <w:r>
        <w:rPr>
          <w:rFonts w:hint="eastAsia" w:ascii="仿宋_GB2312" w:hAnsi="仿宋" w:eastAsia="仿宋_GB2312"/>
          <w:sz w:val="32"/>
          <w:szCs w:val="32"/>
        </w:rPr>
        <w:t>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sz w:val="32"/>
          <w:szCs w:val="32"/>
          <w:lang w:eastAsia="zh-CN"/>
        </w:rPr>
      </w:pPr>
      <w:r>
        <w:rPr>
          <w:rFonts w:hint="eastAsia" w:ascii="仿宋_GB2312" w:hAnsi="仿宋"/>
          <w:sz w:val="32"/>
          <w:szCs w:val="32"/>
          <w:lang w:eastAsia="zh-CN"/>
        </w:rPr>
        <w:t>昆明市呈贡区教育体育局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sz w:val="32"/>
          <w:szCs w:val="32"/>
          <w:lang w:val="en-US" w:eastAsia="zh-CN"/>
        </w:rPr>
      </w:pPr>
      <w:r>
        <w:rPr>
          <w:rFonts w:hint="eastAsia" w:ascii="仿宋_GB2312" w:hAnsi="仿宋"/>
          <w:sz w:val="32"/>
          <w:szCs w:val="32"/>
          <w:lang w:val="en-US" w:eastAsia="zh-CN"/>
        </w:rPr>
        <w:t xml:space="preserve">                             2019年3月25日</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仿宋_GB2312"/>
          <w:b/>
          <w:szCs w:val="32"/>
          <w:highlight w:val="none"/>
          <w:lang w:val="en-US" w:eastAsia="zh-CN"/>
        </w:rPr>
      </w:pPr>
    </w:p>
    <w:sectPr>
      <w:pgSz w:w="11906" w:h="16838"/>
      <w:pgMar w:top="1531" w:right="1531" w:bottom="1531" w:left="1531" w:header="851" w:footer="992" w:gutter="0"/>
      <w:paperSrc/>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GB2313">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564BB"/>
    <w:rsid w:val="09046FBB"/>
    <w:rsid w:val="6BC5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2019-03-25T02:54:00Z</dcterms:created>
  <dc:creator>呈贡何</dc:creator>
  <cp:lastModifiedBy>呈贡何</cp:lastModifiedBy>
  <dcterms:modified xsi:type="dcterms:W3CDTF">2019-03-25T03:03:09Z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