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呈贡区教育局</w:t>
      </w:r>
      <w:r>
        <w:rPr>
          <w:rFonts w:hint="eastAsia" w:ascii="方正小标宋_GBK" w:eastAsia="方正小标宋_GBK"/>
          <w:sz w:val="36"/>
          <w:szCs w:val="36"/>
          <w:lang w:val="en-US" w:eastAsia="zh-CN"/>
        </w:rPr>
        <w:t>2018年</w:t>
      </w:r>
      <w:r>
        <w:rPr>
          <w:rFonts w:hint="eastAsia" w:ascii="方正小标宋_GBK" w:eastAsia="方正小标宋_GBK"/>
          <w:sz w:val="36"/>
          <w:szCs w:val="36"/>
          <w:lang w:eastAsia="zh-CN"/>
        </w:rPr>
        <w:t>政府采购资金</w:t>
      </w:r>
      <w:r>
        <w:rPr>
          <w:rFonts w:hint="eastAsia" w:ascii="方正小标宋_GBK" w:eastAsia="方正小标宋_GBK"/>
          <w:sz w:val="36"/>
          <w:szCs w:val="36"/>
        </w:rPr>
        <w:t>项目</w:t>
      </w:r>
      <w:r>
        <w:rPr>
          <w:rFonts w:hint="eastAsia" w:ascii="方正小标宋_GBK" w:eastAsia="方正小标宋_GBK"/>
          <w:sz w:val="36"/>
          <w:szCs w:val="36"/>
          <w:lang w:eastAsia="zh-CN"/>
        </w:rPr>
        <w:t>支出</w:t>
      </w: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绩效评价报告</w:t>
      </w:r>
    </w:p>
    <w:p>
      <w:pPr>
        <w:widowControl/>
        <w:wordWrap w:val="0"/>
        <w:spacing w:line="432" w:lineRule="auto"/>
        <w:jc w:val="left"/>
        <w:rPr>
          <w:rFonts w:hint="eastAsia" w:ascii="仿宋_GB2312" w:hAnsi="宋体" w:eastAsia="仿宋_GB2312"/>
          <w:b/>
          <w:bCs/>
          <w:kern w:val="0"/>
          <w:sz w:val="32"/>
          <w:szCs w:val="32"/>
        </w:rPr>
      </w:pPr>
    </w:p>
    <w:p>
      <w:pPr>
        <w:widowControl/>
        <w:wordWrap w:val="0"/>
        <w:spacing w:line="432" w:lineRule="auto"/>
        <w:jc w:val="left"/>
        <w:rPr>
          <w:rFonts w:hint="eastAsia" w:ascii="仿宋_GB2312" w:hAnsi="宋体" w:eastAsia="仿宋_GB2312"/>
          <w:b/>
          <w:bCs/>
          <w:kern w:val="0"/>
          <w:sz w:val="32"/>
          <w:szCs w:val="32"/>
        </w:rPr>
      </w:pPr>
      <w:r>
        <w:rPr>
          <w:rFonts w:hint="eastAsia" w:ascii="仿宋_GB2312" w:hAnsi="宋体" w:eastAsia="仿宋_GB2312"/>
          <w:b/>
          <w:bCs/>
          <w:kern w:val="0"/>
          <w:sz w:val="32"/>
          <w:szCs w:val="32"/>
        </w:rPr>
        <w:t>呈贡区财政局：</w:t>
      </w:r>
    </w:p>
    <w:p>
      <w:pPr>
        <w:widowControl/>
        <w:wordWrap w:val="0"/>
        <w:spacing w:line="432" w:lineRule="auto"/>
        <w:ind w:firstLine="480"/>
        <w:jc w:val="left"/>
        <w:rPr>
          <w:rFonts w:hint="eastAsia" w:ascii="仿宋_GB2312" w:eastAsia="仿宋_GB2312"/>
          <w:b/>
          <w:szCs w:val="32"/>
          <w:lang w:val="en-US" w:eastAsia="zh-CN"/>
        </w:rPr>
      </w:pPr>
      <w:r>
        <w:rPr>
          <w:rFonts w:hint="eastAsia" w:ascii="仿宋_GB2312" w:hAnsi="宋体" w:eastAsia="仿宋_GB2312"/>
          <w:kern w:val="0"/>
          <w:sz w:val="32"/>
          <w:szCs w:val="32"/>
        </w:rPr>
        <w:t>根据《关于开展2018年度区级部门财政支出绩效</w:t>
      </w:r>
      <w:r>
        <w:rPr>
          <w:rFonts w:hint="eastAsia" w:ascii="仿宋_GB2312" w:hAnsi="宋体"/>
          <w:kern w:val="0"/>
          <w:sz w:val="32"/>
          <w:szCs w:val="32"/>
          <w:lang w:eastAsia="zh-CN"/>
        </w:rPr>
        <w:t>自评工作的通知》</w:t>
      </w:r>
      <w:r>
        <w:rPr>
          <w:rFonts w:hint="eastAsia" w:ascii="仿宋_GB2312" w:hAnsi="宋体" w:eastAsia="仿宋_GB2312"/>
          <w:kern w:val="0"/>
          <w:sz w:val="32"/>
          <w:szCs w:val="32"/>
        </w:rPr>
        <w:t>（呈财[201</w:t>
      </w:r>
      <w:r>
        <w:rPr>
          <w:rFonts w:hint="eastAsia" w:ascii="仿宋_GB2312" w:hAnsi="宋体"/>
          <w:kern w:val="0"/>
          <w:sz w:val="32"/>
          <w:szCs w:val="32"/>
          <w:lang w:val="en-US" w:eastAsia="zh-CN"/>
        </w:rPr>
        <w:t>9</w:t>
      </w:r>
      <w:r>
        <w:rPr>
          <w:rFonts w:hint="eastAsia" w:ascii="仿宋_GB2312" w:hAnsi="宋体" w:eastAsia="仿宋_GB2312"/>
          <w:kern w:val="0"/>
          <w:sz w:val="32"/>
          <w:szCs w:val="32"/>
        </w:rPr>
        <w:t>]</w:t>
      </w:r>
      <w:r>
        <w:rPr>
          <w:rFonts w:hint="eastAsia" w:ascii="仿宋_GB2312" w:hAnsi="宋体"/>
          <w:kern w:val="0"/>
          <w:sz w:val="32"/>
          <w:szCs w:val="32"/>
          <w:lang w:val="en-US" w:eastAsia="zh-CN"/>
        </w:rPr>
        <w:t>21</w:t>
      </w:r>
      <w:r>
        <w:rPr>
          <w:rFonts w:hint="eastAsia" w:ascii="仿宋_GB2312" w:hAnsi="宋体" w:eastAsia="仿宋_GB2312"/>
          <w:kern w:val="0"/>
          <w:sz w:val="32"/>
          <w:szCs w:val="32"/>
        </w:rPr>
        <w:t>号）文件精神，我们积极组织开展了“</w:t>
      </w:r>
      <w:r>
        <w:rPr>
          <w:rFonts w:hint="eastAsia" w:ascii="仿宋_GB2312" w:hAnsi="宋体" w:eastAsia="仿宋_GB2312"/>
          <w:kern w:val="0"/>
          <w:sz w:val="32"/>
          <w:szCs w:val="32"/>
          <w:lang w:eastAsia="zh-CN"/>
        </w:rPr>
        <w:t>政府采购资金</w:t>
      </w:r>
      <w:r>
        <w:rPr>
          <w:rFonts w:hint="eastAsia" w:ascii="仿宋_GB2312" w:hAnsi="宋体" w:eastAsia="仿宋_GB2312"/>
          <w:kern w:val="0"/>
          <w:sz w:val="32"/>
          <w:szCs w:val="32"/>
        </w:rPr>
        <w:t>”项目支出绩效</w:t>
      </w:r>
      <w:r>
        <w:rPr>
          <w:rFonts w:hint="eastAsia" w:ascii="仿宋_GB2312" w:hAnsi="宋体"/>
          <w:kern w:val="0"/>
          <w:sz w:val="32"/>
          <w:szCs w:val="32"/>
          <w:lang w:eastAsia="zh-CN"/>
        </w:rPr>
        <w:t>评价</w:t>
      </w:r>
      <w:r>
        <w:rPr>
          <w:rFonts w:hint="eastAsia" w:ascii="仿宋_GB2312" w:hAnsi="宋体" w:eastAsia="仿宋_GB2312"/>
          <w:kern w:val="0"/>
          <w:sz w:val="32"/>
          <w:szCs w:val="32"/>
        </w:rPr>
        <w:t>工作，现将将项目绩效</w:t>
      </w:r>
      <w:r>
        <w:rPr>
          <w:rFonts w:hint="eastAsia" w:ascii="仿宋_GB2312" w:hAnsi="宋体"/>
          <w:kern w:val="0"/>
          <w:sz w:val="32"/>
          <w:szCs w:val="32"/>
          <w:lang w:eastAsia="zh-CN"/>
        </w:rPr>
        <w:t>评价</w:t>
      </w:r>
      <w:r>
        <w:rPr>
          <w:rFonts w:hint="eastAsia" w:ascii="仿宋_GB2312" w:hAnsi="宋体" w:eastAsia="仿宋_GB2312"/>
          <w:kern w:val="0"/>
          <w:sz w:val="32"/>
          <w:szCs w:val="32"/>
        </w:rPr>
        <w:t>情况报告如下。</w:t>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基本情况</w:t>
      </w:r>
    </w:p>
    <w:p>
      <w:pPr>
        <w:topLinePunct/>
        <w:ind w:firstLine="31680" w:firstLineChars="200"/>
        <w:rPr>
          <w:rFonts w:hint="eastAsia"/>
        </w:rPr>
      </w:pPr>
      <w:r>
        <w:rPr>
          <w:rFonts w:hint="eastAsia"/>
          <w:sz w:val="32"/>
          <w:szCs w:val="32"/>
          <w:lang w:eastAsia="zh-CN"/>
        </w:rPr>
        <w:t>呈贡区教育局高度重视政府采购工作，拟定了</w:t>
      </w:r>
      <w:r>
        <w:rPr>
          <w:rFonts w:hint="eastAsia" w:eastAsia="仿宋_GB2312"/>
          <w:sz w:val="32"/>
          <w:szCs w:val="32"/>
        </w:rPr>
        <w:t>《昆明市呈贡区教局关于进一步加强政府采购工作规范采购行为的通知》，</w:t>
      </w:r>
      <w:r>
        <w:rPr>
          <w:rFonts w:hint="eastAsia"/>
          <w:sz w:val="32"/>
          <w:szCs w:val="32"/>
          <w:lang w:eastAsia="zh-CN"/>
        </w:rPr>
        <w:t>根据</w:t>
      </w:r>
      <w:r>
        <w:rPr>
          <w:rFonts w:hint="eastAsia"/>
          <w:lang w:eastAsia="zh-CN"/>
        </w:rPr>
        <w:t>《</w:t>
      </w:r>
      <w:r>
        <w:rPr>
          <w:rFonts w:hint="eastAsia"/>
        </w:rPr>
        <w:t>关于进一步加快呈贡新区教育改革和发展的决定</w:t>
      </w:r>
      <w:r>
        <w:rPr>
          <w:rFonts w:hint="eastAsia"/>
          <w:lang w:eastAsia="zh-CN"/>
        </w:rPr>
        <w:t>》（</w:t>
      </w:r>
      <w:r>
        <w:rPr>
          <w:rFonts w:hint="eastAsia"/>
        </w:rPr>
        <w:t>呈新工委发(2013)11号</w:t>
      </w:r>
      <w:r>
        <w:rPr>
          <w:rFonts w:hint="eastAsia"/>
          <w:lang w:eastAsia="zh-CN"/>
        </w:rPr>
        <w:t>）和《合作办学协议书》约定，为确保全区办公学校和合作办学学校</w:t>
      </w:r>
      <w:r>
        <w:rPr>
          <w:rFonts w:hint="eastAsia"/>
          <w:lang w:val="en-US" w:eastAsia="zh-CN"/>
        </w:rPr>
        <w:t>2018年9月份新招学生的正常入学，2018年区财政预算安排了区教育局政府采购资金600万元，主要用于教学设施设备的添置，资金全部到位，保证了学校教学秩序的正常开展。呈贡区教育局按政府采购的相关程序办理了政府采购审批手续，并安排相应的经费。</w:t>
      </w:r>
    </w:p>
    <w:p>
      <w:pPr>
        <w:keepNext w:val="0"/>
        <w:keepLines w:val="0"/>
        <w:pageBreakBefore w:val="0"/>
        <w:widowControl w:val="0"/>
        <w:numPr>
          <w:ilvl w:val="0"/>
          <w:numId w:val="1"/>
        </w:numPr>
        <w:kinsoku/>
        <w:wordWrap/>
        <w:overflowPunct/>
        <w:topLinePunct w:val="0"/>
        <w:autoSpaceDE/>
        <w:autoSpaceDN/>
        <w:bidi w:val="0"/>
        <w:adjustRightInd/>
        <w:snapToGrid/>
        <w:ind w:firstLine="634" w:firstLineChars="200"/>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项目单位绩效报告情况</w:t>
      </w:r>
    </w:p>
    <w:p>
      <w:pPr>
        <w:adjustRightInd/>
        <w:ind w:firstLine="640" w:firstLineChars="200"/>
        <w:rPr>
          <w:rFonts w:hint="eastAsia" w:ascii="黑体" w:hAnsi="黑体" w:eastAsia="黑体"/>
          <w:sz w:val="32"/>
          <w:szCs w:val="32"/>
          <w:lang w:val="en-US" w:eastAsia="zh-CN"/>
        </w:rPr>
      </w:pPr>
      <w:r>
        <w:rPr>
          <w:rFonts w:hint="eastAsia" w:ascii="仿宋_GB2312" w:hAnsi="仿宋" w:eastAsia="仿宋_GB2312"/>
          <w:sz w:val="32"/>
          <w:szCs w:val="32"/>
        </w:rPr>
        <w:t>昆明市呈贡区教育局完成了自评工作，自评内容按照格式要求撰写，项目绩效目标、项目资金管理、项目实施细则、项目资金使用情况分析以及存在的问题再报告中阐述清晰完整。从自评的结果来看项目已完成达到了预期效果，新改扩建的学校都已顺利开展秋季学期教育工作。</w:t>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hint="eastAsia" w:ascii="仿宋_GB2312"/>
          <w:b/>
          <w:bCs/>
          <w:szCs w:val="32"/>
        </w:rPr>
      </w:pPr>
      <w:r>
        <w:rPr>
          <w:rFonts w:hint="eastAsia" w:ascii="黑体" w:hAnsi="黑体" w:eastAsia="黑体"/>
          <w:sz w:val="32"/>
          <w:szCs w:val="32"/>
          <w:lang w:eastAsia="zh-CN"/>
        </w:rPr>
        <w:t>三、绩效评价工作情况</w:t>
      </w:r>
    </w:p>
    <w:p>
      <w:pPr>
        <w:numPr>
          <w:ilvl w:val="0"/>
          <w:numId w:val="0"/>
        </w:numPr>
        <w:topLinePunct/>
        <w:ind w:firstLine="640" w:firstLineChars="200"/>
        <w:rPr>
          <w:rFonts w:hint="eastAsia" w:ascii="仿宋_GB2312"/>
          <w:szCs w:val="32"/>
        </w:rPr>
      </w:pPr>
      <w:r>
        <w:rPr>
          <w:rFonts w:hint="eastAsia" w:ascii="仿宋_GB2312"/>
          <w:szCs w:val="32"/>
        </w:rPr>
        <w:t>（一）绩效评价目的。</w:t>
      </w:r>
    </w:p>
    <w:p>
      <w:pPr>
        <w:topLinePunct/>
        <w:ind w:firstLine="31680" w:firstLineChars="200"/>
        <w:rPr>
          <w:rFonts w:hint="eastAsia" w:ascii="仿宋_GB2312" w:eastAsia="仿宋_GB2312"/>
          <w:szCs w:val="32"/>
          <w:lang w:eastAsia="zh-CN"/>
        </w:rPr>
      </w:pPr>
      <w:r>
        <w:rPr>
          <w:rFonts w:hint="eastAsia" w:ascii="仿宋_GB2312"/>
          <w:szCs w:val="32"/>
          <w:lang w:eastAsia="zh-CN"/>
        </w:rPr>
        <w:t>按新区教育发展改革的需要，教育资源不断的优化整合，让每一个孩子都能享有优质的教育资源，都能享受现代教育信息平台资源，更合理、更高效的提高了教育资源的使用。</w:t>
      </w:r>
      <w:r>
        <w:rPr>
          <w:rFonts w:hint="eastAsia" w:ascii="仿宋_GB2312"/>
          <w:szCs w:val="32"/>
        </w:rPr>
        <w:t>绩效评价目的是为了有利于改进预算管理、优化资源配置，提高公共产品质量和服务水平。</w:t>
      </w:r>
    </w:p>
    <w:p>
      <w:pPr>
        <w:numPr>
          <w:ilvl w:val="0"/>
          <w:numId w:val="2"/>
        </w:numPr>
        <w:topLinePunct/>
        <w:ind w:firstLine="31680" w:firstLineChars="200"/>
        <w:rPr>
          <w:rFonts w:hint="eastAsia" w:ascii="仿宋_GB2312"/>
          <w:szCs w:val="32"/>
        </w:rPr>
      </w:pPr>
      <w:r>
        <w:rPr>
          <w:rFonts w:hint="eastAsia" w:ascii="仿宋_GB2312"/>
          <w:szCs w:val="32"/>
        </w:rPr>
        <w:t>项目资金</w:t>
      </w:r>
    </w:p>
    <w:p>
      <w:pPr>
        <w:numPr>
          <w:ilvl w:val="0"/>
          <w:numId w:val="0"/>
        </w:numPr>
        <w:topLinePunct/>
        <w:ind w:firstLine="640"/>
        <w:rPr>
          <w:rFonts w:hint="eastAsia" w:ascii="仿宋_GB2312"/>
          <w:szCs w:val="32"/>
          <w:lang w:val="en-US" w:eastAsia="zh-CN"/>
        </w:rPr>
      </w:pPr>
      <w:r>
        <w:rPr>
          <w:rFonts w:hint="eastAsia" w:ascii="仿宋_GB2312"/>
          <w:szCs w:val="32"/>
          <w:lang w:val="en-US" w:eastAsia="zh-CN"/>
        </w:rPr>
        <w:t>呈贡区教育局2018年财政预算共安排政府采购资金600万元，到位资金600万元，到位率100%，实际使用487.52万元，调减资金112万元。预算资金全部安排到校，采购资金由财政局直拨到各学校零余额帐户，由学校按实际中标价支付给供货商。具体采购项目如下：</w:t>
      </w:r>
    </w:p>
    <w:p>
      <w:pPr>
        <w:widowControl w:val="0"/>
        <w:numPr>
          <w:ilvl w:val="0"/>
          <w:numId w:val="3"/>
        </w:numPr>
        <w:topLinePunct/>
        <w:jc w:val="both"/>
        <w:rPr>
          <w:rFonts w:hint="eastAsia" w:ascii="仿宋_GB2312"/>
          <w:szCs w:val="32"/>
          <w:lang w:val="en-US" w:eastAsia="zh-CN"/>
        </w:rPr>
      </w:pPr>
      <w:r>
        <w:rPr>
          <w:rFonts w:hint="eastAsia" w:ascii="仿宋_GB2312"/>
          <w:szCs w:val="32"/>
          <w:lang w:val="en-US" w:eastAsia="zh-CN"/>
        </w:rPr>
        <w:t>预算安排资金600万元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520"/>
        <w:gridCol w:w="381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71" w:type="dxa"/>
          </w:tcPr>
          <w:p>
            <w:pPr>
              <w:widowControl w:val="0"/>
              <w:numPr>
                <w:ilvl w:val="0"/>
                <w:numId w:val="0"/>
              </w:numPr>
              <w:topLinePunct/>
              <w:jc w:val="center"/>
              <w:rPr>
                <w:rFonts w:hint="eastAsia" w:asciiTheme="majorEastAsia" w:hAnsiTheme="majorEastAsia" w:eastAsiaTheme="majorEastAsia" w:cstheme="majorEastAsia"/>
                <w:b/>
                <w:bCs/>
                <w:sz w:val="18"/>
                <w:szCs w:val="18"/>
                <w:vertAlign w:val="baseline"/>
                <w:lang w:val="en-US" w:eastAsia="zh-CN"/>
              </w:rPr>
            </w:pPr>
            <w:r>
              <w:rPr>
                <w:rFonts w:hint="eastAsia" w:asciiTheme="majorEastAsia" w:hAnsiTheme="majorEastAsia" w:eastAsiaTheme="majorEastAsia" w:cstheme="majorEastAsia"/>
                <w:b/>
                <w:bCs/>
                <w:sz w:val="18"/>
                <w:szCs w:val="18"/>
                <w:vertAlign w:val="baseline"/>
                <w:lang w:val="en-US" w:eastAsia="zh-CN"/>
              </w:rPr>
              <w:t>序号</w:t>
            </w:r>
          </w:p>
        </w:tc>
        <w:tc>
          <w:tcPr>
            <w:tcW w:w="2520" w:type="dxa"/>
          </w:tcPr>
          <w:p>
            <w:pPr>
              <w:widowControl w:val="0"/>
              <w:numPr>
                <w:ilvl w:val="0"/>
                <w:numId w:val="0"/>
              </w:numPr>
              <w:topLinePunct/>
              <w:jc w:val="center"/>
              <w:rPr>
                <w:rFonts w:hint="eastAsia" w:asciiTheme="majorEastAsia" w:hAnsiTheme="majorEastAsia" w:eastAsiaTheme="majorEastAsia" w:cstheme="majorEastAsia"/>
                <w:b/>
                <w:bCs/>
                <w:sz w:val="18"/>
                <w:szCs w:val="18"/>
                <w:vertAlign w:val="baseline"/>
                <w:lang w:val="en-US" w:eastAsia="zh-CN"/>
              </w:rPr>
            </w:pPr>
            <w:r>
              <w:rPr>
                <w:rFonts w:hint="eastAsia" w:asciiTheme="majorEastAsia" w:hAnsiTheme="majorEastAsia" w:eastAsiaTheme="majorEastAsia" w:cstheme="majorEastAsia"/>
                <w:b/>
                <w:bCs/>
                <w:sz w:val="18"/>
                <w:szCs w:val="18"/>
                <w:vertAlign w:val="baseline"/>
                <w:lang w:val="en-US" w:eastAsia="zh-CN"/>
              </w:rPr>
              <w:t>学校名称</w:t>
            </w:r>
          </w:p>
        </w:tc>
        <w:tc>
          <w:tcPr>
            <w:tcW w:w="3810" w:type="dxa"/>
          </w:tcPr>
          <w:p>
            <w:pPr>
              <w:widowControl w:val="0"/>
              <w:numPr>
                <w:ilvl w:val="0"/>
                <w:numId w:val="0"/>
              </w:numPr>
              <w:topLinePunct/>
              <w:jc w:val="center"/>
              <w:rPr>
                <w:rFonts w:hint="eastAsia" w:asciiTheme="majorEastAsia" w:hAnsiTheme="majorEastAsia" w:eastAsiaTheme="majorEastAsia" w:cstheme="majorEastAsia"/>
                <w:b/>
                <w:bCs/>
                <w:sz w:val="18"/>
                <w:szCs w:val="18"/>
                <w:vertAlign w:val="baseline"/>
                <w:lang w:val="en-US" w:eastAsia="zh-CN"/>
              </w:rPr>
            </w:pPr>
            <w:r>
              <w:rPr>
                <w:rFonts w:hint="eastAsia" w:asciiTheme="majorEastAsia" w:hAnsiTheme="majorEastAsia" w:eastAsiaTheme="majorEastAsia" w:cstheme="majorEastAsia"/>
                <w:b/>
                <w:bCs/>
                <w:sz w:val="18"/>
                <w:szCs w:val="18"/>
                <w:vertAlign w:val="baseline"/>
                <w:lang w:val="en-US" w:eastAsia="zh-CN"/>
              </w:rPr>
              <w:t>项目名称</w:t>
            </w:r>
          </w:p>
        </w:tc>
        <w:tc>
          <w:tcPr>
            <w:tcW w:w="1321" w:type="dxa"/>
          </w:tcPr>
          <w:p>
            <w:pPr>
              <w:widowControl w:val="0"/>
              <w:numPr>
                <w:ilvl w:val="0"/>
                <w:numId w:val="0"/>
              </w:numPr>
              <w:topLinePunct/>
              <w:jc w:val="center"/>
              <w:rPr>
                <w:rFonts w:hint="eastAsia" w:asciiTheme="majorEastAsia" w:hAnsiTheme="majorEastAsia" w:eastAsiaTheme="majorEastAsia" w:cstheme="majorEastAsia"/>
                <w:b/>
                <w:bCs/>
                <w:sz w:val="18"/>
                <w:szCs w:val="18"/>
                <w:vertAlign w:val="baseline"/>
                <w:lang w:val="en-US" w:eastAsia="zh-CN"/>
              </w:rPr>
            </w:pPr>
            <w:r>
              <w:rPr>
                <w:rFonts w:hint="eastAsia" w:asciiTheme="majorEastAsia" w:hAnsiTheme="majorEastAsia" w:eastAsiaTheme="majorEastAsia" w:cstheme="majorEastAsia"/>
                <w:b/>
                <w:bCs/>
                <w:sz w:val="18"/>
                <w:szCs w:val="18"/>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w:t>
            </w:r>
          </w:p>
        </w:tc>
        <w:tc>
          <w:tcPr>
            <w:tcW w:w="252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教投公司</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中华小学滇池星城校区智慧型多媒体教学仪器采购款</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108925.8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2</w:t>
            </w:r>
          </w:p>
        </w:tc>
        <w:tc>
          <w:tcPr>
            <w:tcW w:w="2520" w:type="dxa"/>
            <w:vMerge w:val="restart"/>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新区一小（广电苑小学）</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办公设备</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132460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3</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校园广播系统一套</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191870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4</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校园监控系统一套</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754928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5</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办公家具</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9490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6</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科学实验室一间</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171961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7</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科学仪器设备</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32925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8</w:t>
            </w:r>
          </w:p>
        </w:tc>
        <w:tc>
          <w:tcPr>
            <w:tcW w:w="252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教工一幼白龙潭园区</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新增四个教学班幼儿基础设施设备采购</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285800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9</w:t>
            </w:r>
          </w:p>
        </w:tc>
        <w:tc>
          <w:tcPr>
            <w:tcW w:w="252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古城小学</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教学设施设备采购补助款</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10</w:t>
            </w:r>
          </w:p>
        </w:tc>
        <w:tc>
          <w:tcPr>
            <w:tcW w:w="252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呈贡区教育局</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档案柜</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11</w:t>
            </w:r>
          </w:p>
        </w:tc>
        <w:tc>
          <w:tcPr>
            <w:tcW w:w="2520" w:type="dxa"/>
            <w:vMerge w:val="restart"/>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昆明呈贡新区第二小学</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多媒体教室</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742500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12</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工具柜</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13</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教师办公桌</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14</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学生课桌椅</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15</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办公室文件柜</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16</w:t>
            </w:r>
          </w:p>
        </w:tc>
        <w:tc>
          <w:tcPr>
            <w:tcW w:w="2520" w:type="dxa"/>
            <w:vMerge w:val="restart"/>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云南大学附属中学呈贡校区</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教师用笔记本及办公设备</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128650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17</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增加9间多媒体教室</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18</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校园监控维修与升级</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1035205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19</w:t>
            </w:r>
          </w:p>
        </w:tc>
        <w:tc>
          <w:tcPr>
            <w:tcW w:w="2520" w:type="dxa"/>
            <w:vMerge w:val="restart"/>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4"/>
                <w:szCs w:val="24"/>
                <w:u w:val="none"/>
                <w:lang w:val="en-US" w:eastAsia="zh-CN" w:bidi="ar"/>
              </w:rPr>
              <w:t>青苗国际双语学校</w:t>
            </w: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办公家具</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78400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20</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科学器材用具</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tcPr>
          <w:p>
            <w:pPr>
              <w:widowControl w:val="0"/>
              <w:numPr>
                <w:ilvl w:val="0"/>
                <w:numId w:val="0"/>
              </w:numPr>
              <w:topLinePunct/>
              <w:jc w:val="center"/>
              <w:rPr>
                <w:rFonts w:hint="eastAsia"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21</w:t>
            </w:r>
          </w:p>
        </w:tc>
        <w:tc>
          <w:tcPr>
            <w:tcW w:w="2520" w:type="dxa"/>
            <w:vMerge w:val="continue"/>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p>
        </w:tc>
        <w:tc>
          <w:tcPr>
            <w:tcW w:w="3810"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办公设备</w:t>
            </w:r>
          </w:p>
        </w:tc>
        <w:tc>
          <w:tcPr>
            <w:tcW w:w="1321" w:type="dxa"/>
            <w:textDirection w:val="lrTb"/>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vertAlign w:val="baseline"/>
                <w:lang w:val="en-US" w:eastAsia="zh-CN"/>
              </w:rPr>
            </w:pPr>
            <w:r>
              <w:rPr>
                <w:rFonts w:hint="eastAsia" w:ascii="宋体" w:hAnsi="宋体" w:eastAsia="宋体" w:cs="宋体"/>
                <w:i w:val="0"/>
                <w:color w:val="000000"/>
                <w:kern w:val="0"/>
                <w:sz w:val="22"/>
                <w:szCs w:val="22"/>
                <w:u w:val="none"/>
                <w:lang w:val="en-US" w:eastAsia="zh-CN" w:bidi="ar"/>
              </w:rPr>
              <w:t>244300</w:t>
            </w:r>
          </w:p>
        </w:tc>
      </w:tr>
    </w:tbl>
    <w:p>
      <w:pPr>
        <w:widowControl w:val="0"/>
        <w:numPr>
          <w:ilvl w:val="0"/>
          <w:numId w:val="0"/>
        </w:numPr>
        <w:topLinePunct/>
        <w:jc w:val="center"/>
        <w:rPr>
          <w:rFonts w:hint="eastAsia" w:ascii="仿宋_GB2312"/>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绩效评价指标分析情况</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呈贡区教育局政府采购严格按《云南省人民政府办公厅关于印发云南省201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年政府集中采购目录及标准的通知》和呈贡新区综合办公室《关于转发市政府办公厅昆明市行政事业单位国有资产管理办法的通知》并参照《昆明市市级行政事业单位国有资产配置标准》的要求进行采购。按照政府采购相关规定，呈贡区教育系统政府采购工作以教育局为主体，汇总申报全区中小学幼儿园政府采购审批表，并牵头组织实施。</w:t>
      </w:r>
      <w:r>
        <w:rPr>
          <w:rFonts w:hint="eastAsia" w:eastAsia="仿宋_GB2312"/>
          <w:sz w:val="32"/>
          <w:szCs w:val="32"/>
          <w:lang w:val="en-US" w:eastAsia="zh-CN"/>
        </w:rPr>
        <w:t>2018年</w:t>
      </w:r>
      <w:r>
        <w:rPr>
          <w:rFonts w:hint="eastAsia" w:eastAsia="仿宋_GB2312"/>
          <w:sz w:val="32"/>
          <w:szCs w:val="32"/>
        </w:rPr>
        <w:t>政府采购审批项目</w:t>
      </w:r>
      <w:r>
        <w:rPr>
          <w:rFonts w:hint="eastAsia" w:eastAsia="仿宋_GB2312"/>
          <w:sz w:val="32"/>
          <w:szCs w:val="32"/>
          <w:lang w:val="en-US" w:eastAsia="zh-CN"/>
        </w:rPr>
        <w:t>89</w:t>
      </w:r>
      <w:r>
        <w:rPr>
          <w:rFonts w:hint="eastAsia" w:eastAsia="仿宋_GB2312"/>
          <w:sz w:val="32"/>
          <w:szCs w:val="32"/>
        </w:rPr>
        <w:t>个，其中：公开招标项目</w:t>
      </w:r>
      <w:r>
        <w:rPr>
          <w:rFonts w:hint="eastAsia" w:eastAsia="仿宋_GB2312"/>
          <w:sz w:val="32"/>
          <w:szCs w:val="32"/>
          <w:lang w:val="en-US" w:eastAsia="zh-CN"/>
        </w:rPr>
        <w:t>5</w:t>
      </w:r>
      <w:r>
        <w:rPr>
          <w:rFonts w:hint="eastAsia" w:eastAsia="仿宋_GB2312"/>
          <w:sz w:val="32"/>
          <w:szCs w:val="32"/>
        </w:rPr>
        <w:t>个，单一来源采购项目</w:t>
      </w:r>
      <w:r>
        <w:rPr>
          <w:rFonts w:hint="eastAsia" w:eastAsia="仿宋_GB2312"/>
          <w:sz w:val="32"/>
          <w:szCs w:val="32"/>
          <w:lang w:val="en-US" w:eastAsia="zh-CN"/>
        </w:rPr>
        <w:t>2</w:t>
      </w:r>
      <w:r>
        <w:rPr>
          <w:rFonts w:hint="eastAsia" w:eastAsia="仿宋_GB2312"/>
          <w:sz w:val="32"/>
          <w:szCs w:val="32"/>
        </w:rPr>
        <w:t>个，竞争性谈判</w:t>
      </w:r>
      <w:r>
        <w:rPr>
          <w:rFonts w:hint="eastAsia" w:eastAsia="仿宋_GB2312"/>
          <w:sz w:val="32"/>
          <w:szCs w:val="32"/>
          <w:lang w:val="en-US" w:eastAsia="zh-CN"/>
        </w:rPr>
        <w:t>15</w:t>
      </w:r>
      <w:r>
        <w:rPr>
          <w:rFonts w:hint="eastAsia" w:eastAsia="仿宋_GB2312"/>
          <w:sz w:val="32"/>
          <w:szCs w:val="32"/>
        </w:rPr>
        <w:t>个，询价采购</w:t>
      </w:r>
      <w:r>
        <w:rPr>
          <w:rFonts w:hint="eastAsia" w:eastAsia="仿宋_GB2312"/>
          <w:sz w:val="32"/>
          <w:szCs w:val="32"/>
          <w:lang w:val="en-US" w:eastAsia="zh-CN"/>
        </w:rPr>
        <w:t>67</w:t>
      </w:r>
      <w:r>
        <w:rPr>
          <w:rFonts w:hint="eastAsia" w:eastAsia="仿宋_GB2312"/>
          <w:sz w:val="32"/>
          <w:szCs w:val="32"/>
        </w:rPr>
        <w:t>个，采购预算资金共</w:t>
      </w:r>
      <w:r>
        <w:rPr>
          <w:rFonts w:hint="eastAsia" w:eastAsia="仿宋_GB2312"/>
          <w:sz w:val="32"/>
          <w:szCs w:val="32"/>
          <w:lang w:val="en-US" w:eastAsia="zh-CN"/>
        </w:rPr>
        <w:t>2182</w:t>
      </w:r>
      <w:r>
        <w:rPr>
          <w:rFonts w:hint="eastAsia" w:eastAsia="仿宋_GB2312"/>
          <w:sz w:val="32"/>
          <w:szCs w:val="32"/>
        </w:rPr>
        <w:t>万元</w:t>
      </w:r>
      <w:r>
        <w:rPr>
          <w:rFonts w:hint="eastAsia"/>
          <w:sz w:val="32"/>
          <w:szCs w:val="32"/>
          <w:lang w:eastAsia="zh-CN"/>
        </w:rPr>
        <w:t>。</w:t>
      </w:r>
      <w:r>
        <w:rPr>
          <w:rFonts w:hint="eastAsia" w:ascii="仿宋_GB2312" w:hAnsi="仿宋_GB2312" w:eastAsia="仿宋_GB2312" w:cs="仿宋_GB2312"/>
          <w:sz w:val="32"/>
          <w:szCs w:val="32"/>
          <w:lang w:val="en-US" w:eastAsia="zh-CN"/>
        </w:rPr>
        <w:t>教育系统严格按照政府采购相关规定，委托招标代理公司对公开招标和竞争性谈判项目进行招标代理，招标前后都将采购信息挂云南省政府采购网公示，评标人员由云南省专家库中抽取专家进行评标，评标过程全程摄像，并由区招监办和政府采购办工作人员全程监督。询价采购采购项目由采购单位组成三人以上单数的采购小组，分别询价三家后确定供货商，与采购单位签订合同。</w:t>
      </w:r>
    </w:p>
    <w:p>
      <w:pPr>
        <w:topLinePunct/>
        <w:ind w:firstLine="31680" w:firstLineChars="200"/>
        <w:rPr>
          <w:rFonts w:hint="eastAsia" w:ascii="仿宋_GB2312" w:eastAsia="仿宋_GB2312"/>
          <w:szCs w:val="32"/>
          <w:lang w:eastAsia="zh-CN"/>
        </w:rPr>
      </w:pPr>
      <w:r>
        <w:rPr>
          <w:rFonts w:hint="eastAsia" w:ascii="仿宋_GB2312"/>
          <w:szCs w:val="32"/>
          <w:lang w:eastAsia="zh-CN"/>
        </w:rPr>
        <w:t>呈贡区教育局不断引进优质教育的资源，</w:t>
      </w:r>
      <w:r>
        <w:rPr>
          <w:rFonts w:hint="eastAsia" w:ascii="仿宋_GB2312"/>
          <w:szCs w:val="32"/>
          <w:lang w:val="en-US" w:eastAsia="zh-CN"/>
        </w:rPr>
        <w:t>近三年根据办学的实际需求增加教学设施设备，确保学校正常运转，本年投入的采购资金已全部倒位，按项目合同，实施完成并验收合格的将书面通知区政府采购进行项目资金支付。2018年审批项目现已全面完工，并正常投入使用。</w:t>
      </w:r>
    </w:p>
    <w:p>
      <w:pPr>
        <w:topLinePunct/>
        <w:ind w:firstLine="31680" w:firstLineChars="200"/>
        <w:rPr>
          <w:rFonts w:hint="eastAsia" w:ascii="仿宋_GB2312"/>
          <w:szCs w:val="32"/>
          <w:lang w:eastAsia="zh-CN"/>
        </w:rPr>
      </w:pPr>
      <w:r>
        <w:rPr>
          <w:rFonts w:hint="eastAsia" w:ascii="仿宋_GB2312"/>
          <w:szCs w:val="32"/>
          <w:lang w:val="en-US" w:eastAsia="zh-CN"/>
        </w:rPr>
        <w:t>通过公开招标和竞争性谈判方式组织的采购，更客观、更公平、更透明的确定供货商，商品的质量也得到了保证，也节约了采购预算资金，</w:t>
      </w:r>
      <w:r>
        <w:rPr>
          <w:rFonts w:hint="eastAsia" w:ascii="仿宋_GB2312"/>
          <w:szCs w:val="32"/>
          <w:lang w:eastAsia="zh-CN"/>
        </w:rPr>
        <w:t>政府采购资金的落实，改善了办学条件，提高了办学品质，让每一个学生都受益，让每一位家长放心。</w:t>
      </w:r>
    </w:p>
    <w:p>
      <w:pPr>
        <w:widowControl/>
        <w:wordWrap w:val="0"/>
        <w:spacing w:line="432" w:lineRule="auto"/>
        <w:ind w:firstLine="480"/>
        <w:jc w:val="left"/>
        <w:rPr>
          <w:rFonts w:hint="eastAsia" w:ascii="黑体" w:eastAsia="黑体"/>
          <w:szCs w:val="32"/>
        </w:rPr>
      </w:pPr>
      <w:r>
        <w:rPr>
          <w:rFonts w:hint="eastAsia" w:ascii="仿宋_GB2312" w:hAnsi="宋体" w:eastAsia="仿宋_GB2312"/>
          <w:kern w:val="0"/>
          <w:sz w:val="32"/>
          <w:szCs w:val="32"/>
        </w:rPr>
        <w:t>呈贡区</w:t>
      </w:r>
      <w:r>
        <w:rPr>
          <w:rFonts w:hint="eastAsia" w:ascii="仿宋_GB2312" w:hAnsi="宋体"/>
          <w:kern w:val="0"/>
          <w:sz w:val="32"/>
          <w:szCs w:val="32"/>
          <w:lang w:eastAsia="zh-CN"/>
        </w:rPr>
        <w:t>教育局</w:t>
      </w:r>
      <w:r>
        <w:rPr>
          <w:rFonts w:hint="eastAsia"/>
          <w:lang w:val="en-US" w:eastAsia="zh-CN"/>
        </w:rPr>
        <w:t>政府采购资金</w:t>
      </w:r>
      <w:r>
        <w:rPr>
          <w:rFonts w:hint="eastAsia" w:ascii="仿宋_GB2312" w:hAnsi="宋体" w:eastAsia="仿宋_GB2312"/>
          <w:kern w:val="0"/>
          <w:sz w:val="32"/>
          <w:szCs w:val="32"/>
        </w:rPr>
        <w:t>完全按区财政局《财政支出绩效评价管理暂行办法》的管理要求，对收到的专项资金，实行专款专用、专户管理，项目资金支出严格履行财政专项资金支付的相关审批流程。</w:t>
      </w:r>
    </w:p>
    <w:p>
      <w:pPr>
        <w:numPr>
          <w:ilvl w:val="0"/>
          <w:numId w:val="4"/>
        </w:numPr>
        <w:ind w:firstLine="640" w:firstLineChars="200"/>
        <w:rPr>
          <w:rFonts w:hint="eastAsia" w:ascii="黑体" w:hAnsi="黑体" w:eastAsia="黑体" w:cs="宋体"/>
          <w:bCs/>
          <w:sz w:val="32"/>
          <w:szCs w:val="32"/>
          <w:lang w:eastAsia="zh-CN"/>
        </w:rPr>
      </w:pPr>
      <w:r>
        <w:rPr>
          <w:rFonts w:hint="eastAsia" w:ascii="黑体" w:hAnsi="黑体" w:eastAsia="黑体" w:cs="宋体"/>
          <w:bCs/>
          <w:sz w:val="32"/>
          <w:szCs w:val="32"/>
          <w:lang w:eastAsia="zh-CN"/>
        </w:rPr>
        <w:t>综合评价情况及评价结论</w:t>
      </w:r>
    </w:p>
    <w:p>
      <w:pPr>
        <w:numPr>
          <w:numId w:val="0"/>
        </w:numPr>
        <w:ind w:firstLine="640" w:firstLineChars="200"/>
        <w:rPr>
          <w:rFonts w:hint="eastAsia" w:ascii="仿宋_GB2312" w:eastAsia="仿宋_GB2312"/>
          <w:sz w:val="32"/>
          <w:szCs w:val="32"/>
        </w:rPr>
      </w:pPr>
      <w:r>
        <w:rPr>
          <w:rFonts w:hint="eastAsia" w:ascii="仿宋_GB2312" w:eastAsia="仿宋_GB2312"/>
          <w:sz w:val="32"/>
          <w:szCs w:val="32"/>
        </w:rPr>
        <w:t>经对</w:t>
      </w:r>
      <w:r>
        <w:rPr>
          <w:rFonts w:hint="eastAsia" w:ascii="仿宋_GB2312" w:eastAsia="仿宋_GB2312"/>
          <w:sz w:val="32"/>
        </w:rPr>
        <w:t>“</w:t>
      </w:r>
      <w:r>
        <w:rPr>
          <w:rFonts w:hint="eastAsia" w:ascii="仿宋_GB2312"/>
          <w:sz w:val="32"/>
          <w:lang w:eastAsia="zh-CN"/>
        </w:rPr>
        <w:t>政府采购</w:t>
      </w:r>
      <w:r>
        <w:rPr>
          <w:rFonts w:hint="eastAsia" w:ascii="仿宋_GB2312" w:hAnsi="仿宋" w:eastAsia="仿宋_GB2312"/>
          <w:sz w:val="32"/>
          <w:szCs w:val="32"/>
        </w:rPr>
        <w:t>”项目的概算、目标、决策过程、资金管理、组织设施、项目效益等进行了绩效评价，该项目综合评价得9</w:t>
      </w:r>
      <w:r>
        <w:rPr>
          <w:rFonts w:hint="eastAsia" w:ascii="仿宋_GB2312" w:hAnsi="仿宋"/>
          <w:sz w:val="32"/>
          <w:szCs w:val="32"/>
          <w:lang w:val="en-US" w:eastAsia="zh-CN"/>
        </w:rPr>
        <w:t>5</w:t>
      </w:r>
      <w:r>
        <w:rPr>
          <w:rFonts w:hint="eastAsia" w:ascii="仿宋_GB2312" w:hAnsi="仿宋" w:eastAsia="仿宋_GB2312"/>
          <w:sz w:val="32"/>
          <w:szCs w:val="32"/>
        </w:rPr>
        <w:t>分，评价等级为优。</w:t>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hint="eastAsia" w:ascii="黑体" w:hAnsi="黑体" w:eastAsia="黑体" w:cs="宋体"/>
          <w:bCs/>
          <w:sz w:val="32"/>
          <w:szCs w:val="32"/>
        </w:rPr>
      </w:pPr>
    </w:p>
    <w:p>
      <w:pPr>
        <w:topLinePunct/>
        <w:ind w:firstLine="31680" w:firstLineChars="200"/>
        <w:rPr>
          <w:rFonts w:hint="eastAsia" w:ascii="黑体" w:hAnsi="黑体" w:eastAsia="黑体" w:cs="宋体"/>
          <w:bCs/>
          <w:sz w:val="32"/>
          <w:szCs w:val="32"/>
          <w:lang w:eastAsia="zh-CN"/>
        </w:rPr>
      </w:pPr>
      <w:r>
        <w:rPr>
          <w:rFonts w:hint="eastAsia" w:ascii="黑体" w:hAnsi="黑体" w:eastAsia="黑体" w:cs="宋体"/>
          <w:bCs/>
          <w:sz w:val="32"/>
          <w:szCs w:val="32"/>
          <w:lang w:eastAsia="zh-CN"/>
        </w:rPr>
        <w:t>六、绩效评价结果应用建议</w:t>
      </w:r>
    </w:p>
    <w:p>
      <w:pPr>
        <w:topLinePunct/>
        <w:ind w:firstLine="31680" w:firstLineChars="200"/>
        <w:rPr>
          <w:rFonts w:hint="eastAsia" w:ascii="仿宋_GB2312" w:hAnsi="仿宋" w:eastAsia="仿宋_GB2312"/>
          <w:sz w:val="32"/>
          <w:szCs w:val="32"/>
        </w:rPr>
      </w:pPr>
      <w:r>
        <w:rPr>
          <w:rFonts w:hint="eastAsia" w:ascii="仿宋_GB2312" w:hAnsi="仿宋_GB2312" w:eastAsia="仿宋_GB2312" w:cs="仿宋_GB2312"/>
          <w:sz w:val="32"/>
          <w:szCs w:val="32"/>
          <w:lang w:eastAsia="zh-CN"/>
        </w:rPr>
        <w:t>一是加强绩效管理工作的宣传力度，</w:t>
      </w:r>
      <w:r>
        <w:rPr>
          <w:rFonts w:hint="eastAsia" w:ascii="仿宋_GB2312" w:eastAsia="仿宋_GB2312"/>
          <w:snapToGrid w:val="0"/>
          <w:color w:val="000000"/>
          <w:kern w:val="0"/>
          <w:sz w:val="32"/>
          <w:szCs w:val="32"/>
        </w:rPr>
        <w:t>让绩效理念深入人心、让绩效管理人员熟知政策</w:t>
      </w:r>
      <w:r>
        <w:rPr>
          <w:rFonts w:hint="eastAsia" w:ascii="仿宋_GB2312" w:eastAsia="仿宋_GB2312"/>
          <w:snapToGrid w:val="0"/>
          <w:color w:val="000000"/>
          <w:kern w:val="0"/>
          <w:sz w:val="32"/>
          <w:szCs w:val="32"/>
          <w:lang w:eastAsia="zh-CN"/>
        </w:rPr>
        <w:t>，</w:t>
      </w:r>
      <w:r>
        <w:rPr>
          <w:rFonts w:hint="eastAsia" w:ascii="仿宋_GB2312" w:hAnsi="仿宋" w:eastAsia="仿宋_GB2312"/>
          <w:sz w:val="32"/>
          <w:szCs w:val="32"/>
        </w:rPr>
        <w:t>构建“预算编制有目标、预算执行有监督、预算完成有评价、评价结果有应用、绩效缺失有问责”的全过程预算绩效管理机制，提高财政资金使用效益。</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预算绩效管理</w:t>
      </w:r>
      <w:r>
        <w:rPr>
          <w:rFonts w:hint="eastAsia" w:ascii="仿宋_GB2312" w:hAnsi="仿宋_GB2312" w:eastAsia="仿宋_GB2312" w:cs="仿宋_GB2312"/>
          <w:sz w:val="32"/>
          <w:szCs w:val="32"/>
          <w:lang w:eastAsia="zh-CN"/>
        </w:rPr>
        <w:t>工作人员的</w:t>
      </w:r>
      <w:r>
        <w:rPr>
          <w:rFonts w:hint="eastAsia" w:ascii="仿宋_GB2312" w:hAnsi="仿宋_GB2312" w:eastAsia="仿宋_GB2312" w:cs="仿宋_GB2312"/>
          <w:sz w:val="32"/>
          <w:szCs w:val="32"/>
        </w:rPr>
        <w:t>培训，</w:t>
      </w:r>
      <w:r>
        <w:rPr>
          <w:rFonts w:hint="eastAsia" w:ascii="仿宋_GB2312" w:hAnsi="仿宋" w:eastAsia="仿宋_GB2312"/>
          <w:sz w:val="32"/>
          <w:szCs w:val="32"/>
        </w:rPr>
        <w:t>提高绩效管理业务知识，提升预算绩效管理工作水平。</w:t>
      </w:r>
    </w:p>
    <w:p>
      <w:pPr>
        <w:topLinePunct/>
        <w:ind w:firstLine="31680" w:firstLineChars="200"/>
        <w:rPr>
          <w:rFonts w:hint="eastAsia" w:ascii="黑体" w:hAnsi="黑体" w:eastAsia="黑体" w:cs="宋体"/>
          <w:bCs/>
          <w:sz w:val="32"/>
          <w:szCs w:val="32"/>
          <w:lang w:eastAsia="zh-CN"/>
        </w:rPr>
      </w:pPr>
      <w:r>
        <w:rPr>
          <w:rFonts w:hint="eastAsia" w:ascii="黑体" w:hAnsi="黑体" w:eastAsia="黑体" w:cs="宋体"/>
          <w:bCs/>
          <w:sz w:val="32"/>
          <w:szCs w:val="32"/>
          <w:lang w:eastAsia="zh-CN"/>
        </w:rPr>
        <w:t>七、主要经验及做法、存在的问题和建议。</w:t>
      </w:r>
    </w:p>
    <w:p>
      <w:pPr>
        <w:topLinePunct/>
        <w:ind w:firstLine="31680" w:firstLineChars="200"/>
        <w:rPr>
          <w:rFonts w:hint="eastAsia" w:ascii="黑体" w:hAnsi="黑体" w:eastAsia="黑体" w:cs="宋体"/>
          <w:bCs/>
          <w:sz w:val="32"/>
          <w:szCs w:val="32"/>
          <w:lang w:eastAsia="zh-CN"/>
        </w:rPr>
      </w:pPr>
      <w:r>
        <w:rPr>
          <w:rFonts w:hint="eastAsia" w:ascii="仿宋_GB2312"/>
          <w:szCs w:val="32"/>
          <w:lang w:eastAsia="zh-CN"/>
        </w:rPr>
        <w:t>政府采购项目资金在申报审批表时将是初步预算数，如果按预算数拨付资金待实施结束后会造成资金的少量结余。各学校在采购清单及参数的填写时一个要认真仔细，不要出现漏报，虚报，安排资金时不要出现结余或缺口资金过大。</w:t>
      </w:r>
    </w:p>
    <w:p>
      <w:pPr>
        <w:numPr>
          <w:ilvl w:val="0"/>
          <w:numId w:val="0"/>
        </w:numPr>
        <w:topLinePunct/>
        <w:ind w:firstLine="640" w:firstLineChars="200"/>
        <w:rPr>
          <w:rFonts w:hint="eastAsia" w:ascii="黑体" w:hAnsi="黑体" w:eastAsia="黑体" w:cs="宋体"/>
          <w:bCs/>
          <w:sz w:val="32"/>
          <w:szCs w:val="32"/>
          <w:lang w:eastAsia="zh-CN"/>
        </w:rPr>
      </w:pPr>
      <w:r>
        <w:rPr>
          <w:rFonts w:hint="eastAsia" w:ascii="仿宋_GB2312"/>
          <w:szCs w:val="32"/>
          <w:lang w:eastAsia="zh-CN"/>
        </w:rPr>
        <w:t>今后将按采购支付的实际金额拨到学校，不在造成资金少量的结余。加强学习政府采购的相关政策法规，做好政府采购的相关工作。</w:t>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、其他需要说明的问题</w:t>
      </w:r>
    </w:p>
    <w:p>
      <w:pPr>
        <w:topLinePunct/>
        <w:ind w:firstLine="31680" w:firstLineChars="200"/>
        <w:rPr>
          <w:rFonts w:hint="eastAsia" w:ascii="仿宋_GB2312"/>
          <w:szCs w:val="32"/>
          <w:lang w:eastAsia="zh-CN"/>
        </w:rPr>
      </w:pPr>
      <w:r>
        <w:rPr>
          <w:rFonts w:hint="eastAsia" w:ascii="仿宋_GB2312"/>
          <w:szCs w:val="32"/>
          <w:lang w:eastAsia="zh-CN"/>
        </w:rPr>
        <w:t>无</w:t>
      </w:r>
    </w:p>
    <w:p>
      <w:pPr>
        <w:topLinePunct/>
        <w:rPr>
          <w:rFonts w:hint="eastAsia" w:ascii="仿宋_GB2312"/>
          <w:szCs w:val="32"/>
          <w:lang w:eastAsia="zh-CN"/>
        </w:rPr>
      </w:pPr>
      <w:bookmarkStart w:id="0" w:name="_GoBack"/>
      <w:bookmarkEnd w:id="0"/>
    </w:p>
    <w:p>
      <w:pPr>
        <w:topLinePunct/>
        <w:ind w:firstLine="31680" w:firstLineChars="200"/>
        <w:rPr>
          <w:rFonts w:hint="eastAsia" w:ascii="仿宋_GB2312"/>
          <w:szCs w:val="32"/>
          <w:lang w:val="en-US" w:eastAsia="zh-CN"/>
        </w:rPr>
      </w:pPr>
      <w:r>
        <w:rPr>
          <w:rFonts w:hint="eastAsia" w:ascii="仿宋_GB2312"/>
          <w:szCs w:val="32"/>
          <w:lang w:val="en-US" w:eastAsia="zh-CN"/>
        </w:rPr>
        <w:t xml:space="preserve">                         呈贡区教育局</w:t>
      </w:r>
    </w:p>
    <w:p>
      <w:pPr>
        <w:topLinePunct/>
        <w:ind w:firstLine="31680" w:firstLineChars="200"/>
      </w:pPr>
      <w:r>
        <w:rPr>
          <w:rFonts w:hint="eastAsia" w:ascii="仿宋_GB2312"/>
          <w:szCs w:val="32"/>
          <w:lang w:val="en-US" w:eastAsia="zh-CN"/>
        </w:rPr>
        <w:t xml:space="preserve">                        2019年3月13日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8"/>
    <w:multiLevelType w:val="singleLevel"/>
    <w:tmpl w:val="00000008"/>
    <w:lvl w:ilvl="0" w:tentative="0">
      <w:start w:val="2"/>
      <w:numFmt w:val="chineseCounting"/>
      <w:suff w:val="nothing"/>
      <w:lvlText w:val="（%1）"/>
      <w:lvlJc w:val="left"/>
    </w:lvl>
  </w:abstractNum>
  <w:abstractNum w:abstractNumId="2">
    <w:nsid w:val="5C8864CB"/>
    <w:multiLevelType w:val="singleLevel"/>
    <w:tmpl w:val="5C8864CB"/>
    <w:lvl w:ilvl="0" w:tentative="0">
      <w:start w:val="2"/>
      <w:numFmt w:val="chineseCounting"/>
      <w:suff w:val="nothing"/>
      <w:lvlText w:val="%1、"/>
      <w:lvlJc w:val="left"/>
    </w:lvl>
  </w:abstractNum>
  <w:abstractNum w:abstractNumId="3">
    <w:nsid w:val="5C886A5D"/>
    <w:multiLevelType w:val="singleLevel"/>
    <w:tmpl w:val="5C886A5D"/>
    <w:lvl w:ilvl="0" w:tentative="0">
      <w:start w:val="5"/>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54589"/>
    <w:rsid w:val="2C87273C"/>
    <w:rsid w:val="3EB706DA"/>
    <w:rsid w:val="4A6D5CE1"/>
    <w:rsid w:val="62F744E6"/>
    <w:rsid w:val="6331686A"/>
    <w:rsid w:val="747545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p0"/>
    <w:basedOn w:val="1"/>
    <w:qFormat/>
    <w:uiPriority w:val="0"/>
    <w:pPr>
      <w:adjustRightInd/>
      <w:snapToGrid/>
      <w:spacing w:after="0" w:afterLines="0"/>
      <w:jc w:val="both"/>
    </w:pPr>
    <w:rPr>
      <w:rFonts w:ascii="Times New Roman" w:hAnsi="Times New Roman" w:eastAsia="宋体" w:cs="Times New Roman"/>
      <w:sz w:val="21"/>
      <w:szCs w:val="21"/>
    </w:rPr>
  </w:style>
  <w:style w:type="character" w:customStyle="1" w:styleId="6">
    <w:name w:val="font11"/>
    <w:basedOn w:val="2"/>
    <w:qFormat/>
    <w:uiPriority w:val="0"/>
    <w:rPr>
      <w:rFonts w:ascii="Tahoma" w:hAnsi="Tahoma" w:eastAsia="Tahoma" w:cs="Tahoma"/>
      <w:color w:val="000000"/>
      <w:sz w:val="20"/>
      <w:szCs w:val="20"/>
      <w:u w:val="none"/>
    </w:rPr>
  </w:style>
  <w:style w:type="character" w:customStyle="1" w:styleId="7">
    <w:name w:val="font31"/>
    <w:basedOn w:val="2"/>
    <w:qFormat/>
    <w:uiPriority w:val="0"/>
    <w:rPr>
      <w:rFonts w:hint="eastAsia" w:ascii="宋体" w:hAnsi="宋体" w:eastAsia="宋体" w:cs="宋体"/>
      <w:color w:val="000000"/>
      <w:sz w:val="20"/>
      <w:szCs w:val="20"/>
      <w:u w:val="none"/>
    </w:rPr>
  </w:style>
  <w:style w:type="character" w:customStyle="1" w:styleId="8">
    <w:name w:val="font4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2018-03-20T02:34:00Z</dcterms:created>
  <dc:creator>NTKO</dc:creator>
  <cp:lastModifiedBy>NTKO</cp:lastModifiedBy>
  <dcterms:modified xsi:type="dcterms:W3CDTF">2019-03-13T02:18:47Z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